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26" w:type="dxa"/>
        <w:tblLayout w:type="fixed"/>
        <w:tblCellMar>
          <w:left w:w="70" w:type="dxa"/>
          <w:right w:w="70" w:type="dxa"/>
        </w:tblCellMar>
        <w:tblLook w:val="0000" w:firstRow="0" w:lastRow="0" w:firstColumn="0" w:lastColumn="0" w:noHBand="0" w:noVBand="0"/>
      </w:tblPr>
      <w:tblGrid>
        <w:gridCol w:w="4606"/>
        <w:gridCol w:w="4820"/>
      </w:tblGrid>
      <w:tr w:rsidR="002D64CB" w:rsidRPr="002C26A9" w:rsidTr="006A1E88">
        <w:tc>
          <w:tcPr>
            <w:tcW w:w="4606" w:type="dxa"/>
          </w:tcPr>
          <w:p w:rsidR="002D64CB" w:rsidRPr="002C26A9" w:rsidRDefault="002D64CB">
            <w:pPr>
              <w:pStyle w:val="Ttulo2"/>
            </w:pPr>
            <w:bookmarkStart w:id="0" w:name="_GoBack"/>
            <w:bookmarkEnd w:id="0"/>
            <w:r w:rsidRPr="002C26A9">
              <w:t xml:space="preserve">N.º </w:t>
            </w:r>
            <w:r w:rsidR="00F16083" w:rsidRPr="002C26A9">
              <w:t>321</w:t>
            </w:r>
            <w:r w:rsidRPr="002C26A9">
              <w:t>/201</w:t>
            </w:r>
            <w:r w:rsidR="007312F7" w:rsidRPr="002C26A9">
              <w:t>8</w:t>
            </w:r>
          </w:p>
          <w:p w:rsidR="002D64CB" w:rsidRPr="002C26A9" w:rsidRDefault="002D64CB">
            <w:pPr>
              <w:pStyle w:val="Ttulo2"/>
            </w:pPr>
          </w:p>
          <w:p w:rsidR="002D64CB" w:rsidRPr="002C26A9" w:rsidRDefault="002D64CB">
            <w:pPr>
              <w:pStyle w:val="Ttulo2"/>
            </w:pPr>
            <w:r w:rsidRPr="002C26A9">
              <w:t>SEÑORES:</w:t>
            </w:r>
          </w:p>
        </w:tc>
        <w:tc>
          <w:tcPr>
            <w:tcW w:w="4820" w:type="dxa"/>
          </w:tcPr>
          <w:p w:rsidR="002D64CB" w:rsidRPr="002C26A9" w:rsidRDefault="002D64CB" w:rsidP="00FE0057">
            <w:pPr>
              <w:pStyle w:val="Puesto"/>
            </w:pPr>
            <w:r w:rsidRPr="002C26A9">
              <w:t>Excm</w:t>
            </w:r>
            <w:r w:rsidR="00FE0057" w:rsidRPr="002C26A9">
              <w:t>a</w:t>
            </w:r>
            <w:r w:rsidRPr="002C26A9">
              <w:t>. Sr</w:t>
            </w:r>
            <w:r w:rsidR="00FE0057" w:rsidRPr="002C26A9">
              <w:t>a</w:t>
            </w:r>
            <w:r w:rsidRPr="002C26A9">
              <w:t>.:</w:t>
            </w:r>
          </w:p>
        </w:tc>
      </w:tr>
      <w:tr w:rsidR="002D64CB" w:rsidRPr="002C26A9" w:rsidTr="006A1E88">
        <w:tc>
          <w:tcPr>
            <w:tcW w:w="4606" w:type="dxa"/>
            <w:tcBorders>
              <w:bottom w:val="single" w:sz="6" w:space="0" w:color="auto"/>
              <w:right w:val="single" w:sz="6" w:space="0" w:color="auto"/>
            </w:tcBorders>
          </w:tcPr>
          <w:p w:rsidR="002D64CB" w:rsidRPr="002C26A9" w:rsidRDefault="002D64CB">
            <w:pPr>
              <w:pStyle w:val="Ttulo1"/>
            </w:pPr>
          </w:p>
          <w:p w:rsidR="00814FD5" w:rsidRPr="002C26A9" w:rsidRDefault="00814FD5" w:rsidP="00814FD5">
            <w:pPr>
              <w:pStyle w:val="Ttulo1"/>
            </w:pPr>
            <w:r w:rsidRPr="002C26A9">
              <w:t>Joaquín Sánchez Garrido</w:t>
            </w:r>
            <w:r w:rsidR="00F40C81" w:rsidRPr="002C26A9">
              <w:t>, Presidente</w:t>
            </w:r>
          </w:p>
          <w:p w:rsidR="00814FD5" w:rsidRPr="002C26A9" w:rsidRDefault="00814FD5" w:rsidP="00814FD5">
            <w:pPr>
              <w:pStyle w:val="Ttulo1"/>
            </w:pPr>
            <w:r w:rsidRPr="002C26A9">
              <w:t xml:space="preserve">Fernando Andújar Hernández </w:t>
            </w:r>
          </w:p>
          <w:p w:rsidR="00814FD5" w:rsidRPr="002C26A9" w:rsidRDefault="00814FD5" w:rsidP="00814FD5">
            <w:pPr>
              <w:pStyle w:val="Ttulo1"/>
            </w:pPr>
            <w:r w:rsidRPr="002C26A9">
              <w:t>Enrique Belda Pérez-Pedrero</w:t>
            </w:r>
          </w:p>
          <w:p w:rsidR="00814FD5" w:rsidRPr="002C26A9" w:rsidRDefault="00814FD5" w:rsidP="00814FD5">
            <w:pPr>
              <w:pStyle w:val="Ttulo1"/>
            </w:pPr>
            <w:r w:rsidRPr="002C26A9">
              <w:t>Fernando José Torres Villamor</w:t>
            </w:r>
          </w:p>
          <w:p w:rsidR="002D64CB" w:rsidRPr="002C26A9" w:rsidRDefault="00FE0057" w:rsidP="00814FD5">
            <w:pPr>
              <w:pStyle w:val="Ttulo1"/>
            </w:pPr>
            <w:r w:rsidRPr="002C26A9">
              <w:t>Milagros Ortega Muñoz</w:t>
            </w:r>
            <w:r w:rsidR="00814FD5" w:rsidRPr="002C26A9">
              <w:t>, Secretaria General</w:t>
            </w:r>
            <w:r w:rsidRPr="002C26A9">
              <w:t xml:space="preserve"> Acctal.</w:t>
            </w:r>
          </w:p>
        </w:tc>
        <w:tc>
          <w:tcPr>
            <w:tcW w:w="4820" w:type="dxa"/>
            <w:tcBorders>
              <w:left w:val="nil"/>
            </w:tcBorders>
          </w:tcPr>
          <w:p w:rsidR="002D64CB" w:rsidRPr="002C26A9" w:rsidRDefault="002D64CB">
            <w:pPr>
              <w:pStyle w:val="Puesto"/>
              <w:ind w:left="72" w:right="497"/>
            </w:pPr>
          </w:p>
          <w:p w:rsidR="002D64CB" w:rsidRPr="002C26A9" w:rsidRDefault="002D64CB" w:rsidP="006A1E88">
            <w:pPr>
              <w:pStyle w:val="Puesto"/>
              <w:ind w:left="214" w:right="639" w:firstLine="351"/>
            </w:pPr>
            <w:r w:rsidRPr="002C26A9">
              <w:t xml:space="preserve">El Pleno del Consejo Consultivo de Castilla-La Mancha, en sesión celebrada el día </w:t>
            </w:r>
            <w:r w:rsidR="006A1E88" w:rsidRPr="002C26A9">
              <w:t>27</w:t>
            </w:r>
            <w:r w:rsidRPr="002C26A9">
              <w:t xml:space="preserve"> de </w:t>
            </w:r>
            <w:r w:rsidR="006A1E88" w:rsidRPr="002C26A9">
              <w:t xml:space="preserve">septiembre </w:t>
            </w:r>
            <w:r w:rsidRPr="002C26A9">
              <w:t>de 201</w:t>
            </w:r>
            <w:r w:rsidR="007312F7" w:rsidRPr="002C26A9">
              <w:t>8</w:t>
            </w:r>
            <w:r w:rsidRPr="002C26A9">
              <w:t>, con asistencia de los señores que al margen se expresan, emitió el siguiente dictamen:</w:t>
            </w:r>
          </w:p>
        </w:tc>
      </w:tr>
    </w:tbl>
    <w:p w:rsidR="006A1E88" w:rsidRPr="002C26A9" w:rsidRDefault="006A1E88" w:rsidP="006A1E88">
      <w:pPr>
        <w:pStyle w:val="Comienzo"/>
      </w:pPr>
      <w:r w:rsidRPr="002C26A9">
        <w:t xml:space="preserve">“En virtud de comunicación de V. E. de 31 de julio de 2018, el Consejo Consultivo de Castilla-La Mancha ha examinado el anteproyecto de </w:t>
      </w:r>
      <w:r w:rsidR="00C61D05" w:rsidRPr="002C26A9">
        <w:t>L</w:t>
      </w:r>
      <w:r w:rsidRPr="002C26A9">
        <w:t>ey de acceso al entorno de las personas discapacitadas acompañadas de perros de asistencia.</w:t>
      </w:r>
    </w:p>
    <w:p w:rsidR="006A1E88" w:rsidRPr="002C26A9" w:rsidRDefault="006A1E88" w:rsidP="006A1E88">
      <w:pPr>
        <w:pStyle w:val="ResultadelosANTECEDENTES"/>
        <w:rPr>
          <w:b/>
        </w:rPr>
      </w:pPr>
      <w:r w:rsidRPr="002C26A9">
        <w:t xml:space="preserve">Resulta de los </w:t>
      </w:r>
      <w:r w:rsidRPr="002C26A9">
        <w:rPr>
          <w:b/>
        </w:rPr>
        <w:t>ANTECEDENTES</w:t>
      </w:r>
    </w:p>
    <w:p w:rsidR="006A1E88" w:rsidRPr="002C26A9" w:rsidRDefault="006A1E88" w:rsidP="006A1E88">
      <w:pPr>
        <w:rPr>
          <w:szCs w:val="28"/>
        </w:rPr>
      </w:pPr>
      <w:r w:rsidRPr="002C26A9">
        <w:rPr>
          <w:b/>
          <w:szCs w:val="28"/>
        </w:rPr>
        <w:t xml:space="preserve">Primero. Consulta pública.- </w:t>
      </w:r>
      <w:r w:rsidRPr="002C26A9">
        <w:rPr>
          <w:szCs w:val="28"/>
        </w:rPr>
        <w:t>El expediente remitido para dictamen contiene, como primer elemento integrante del mismo, la documentación justificativa de haberse realizado un trámite previo de consulta pública en relación con una iniciativa orientada a promover la aprobación de una ley reguladora del acceso al entorno de personas discapacitadas acompañadas de perros de asistencia, la cual se ha materializado mediante publicación del correspondiente anuncio el día 6 de abril de 2017 en la página web de la Junta de Comunidades de Castilla-La Mancha.</w:t>
      </w:r>
    </w:p>
    <w:p w:rsidR="006A1E88" w:rsidRPr="002C26A9" w:rsidRDefault="006A1E88" w:rsidP="006A1E88">
      <w:pPr>
        <w:rPr>
          <w:szCs w:val="28"/>
        </w:rPr>
      </w:pPr>
      <w:r w:rsidRPr="002C26A9">
        <w:rPr>
          <w:b/>
          <w:szCs w:val="28"/>
        </w:rPr>
        <w:lastRenderedPageBreak/>
        <w:t>Segundo. Memoria de impacto normativo</w:t>
      </w:r>
      <w:r w:rsidR="003D69D7" w:rsidRPr="002C26A9">
        <w:rPr>
          <w:b/>
          <w:szCs w:val="28"/>
        </w:rPr>
        <w:t>.</w:t>
      </w:r>
      <w:r w:rsidRPr="002C26A9">
        <w:rPr>
          <w:b/>
          <w:szCs w:val="28"/>
        </w:rPr>
        <w:t>-</w:t>
      </w:r>
      <w:r w:rsidRPr="002C26A9">
        <w:rPr>
          <w:szCs w:val="28"/>
        </w:rPr>
        <w:t xml:space="preserve"> Tras verificarse el trámite de consulta antedicho, durante el que se habría recibido alguna alegación al respecto, fue elaborada una </w:t>
      </w:r>
      <w:r w:rsidR="00C61D05" w:rsidRPr="002C26A9">
        <w:rPr>
          <w:szCs w:val="28"/>
        </w:rPr>
        <w:t xml:space="preserve">memoria </w:t>
      </w:r>
      <w:r w:rsidRPr="002C26A9">
        <w:rPr>
          <w:szCs w:val="28"/>
        </w:rPr>
        <w:t>de análisis de impacto normativo por parte de la Secretaria General de la Consejería de Bienestar Social, la cual fue redactada el 22 de mayo posterior. En dicho documento se exponen las razones que justifican el impulso de la iniciativa legislativa emprendida, asociada a la necesidad de dotar a la Región de una regulación legal más amplia y específica que aborde la casuística inherente al derecho de acceso al entorno por parte de personas discapacitadas que precisen para ello del acompañamiento de un perro de asistencia, ámbito este en el que deben modificarse preceptos legales precedentes y donde se estima necesario implantar un régimen sancionador propio que requeriría de la aprobación de una norma con rango de ley.</w:t>
      </w:r>
    </w:p>
    <w:p w:rsidR="006A1E88" w:rsidRPr="002C26A9" w:rsidRDefault="006A1E88" w:rsidP="006A1E88">
      <w:pPr>
        <w:rPr>
          <w:szCs w:val="28"/>
        </w:rPr>
      </w:pPr>
      <w:r w:rsidRPr="002C26A9">
        <w:rPr>
          <w:szCs w:val="28"/>
        </w:rPr>
        <w:t xml:space="preserve">La referida </w:t>
      </w:r>
      <w:r w:rsidR="00C61D05" w:rsidRPr="002C26A9">
        <w:rPr>
          <w:szCs w:val="28"/>
        </w:rPr>
        <w:t xml:space="preserve">memoria </w:t>
      </w:r>
      <w:r w:rsidRPr="002C26A9">
        <w:rPr>
          <w:szCs w:val="28"/>
        </w:rPr>
        <w:t xml:space="preserve">hace una enumeración descriptiva del panorama normativo existente en otras Comunidades Autónomas, en doce de las cuales ya existen normas legales que versan sobre la misma materia objeto de regulación, pasando a analizar los diversos y eventuales impactos sectoriales generados por la iniciativa en sus aspectos económico y presupuestario </w:t>
      </w:r>
      <w:r w:rsidRPr="002C26A9">
        <w:rPr>
          <w:szCs w:val="28"/>
        </w:rPr>
        <w:br/>
        <w:t xml:space="preserve">-ninguno, hasta la aprobación de su normativa de desarrollo reglamentario-, sobre la competencia en el mercado -ninguno-, la unidad de mercado </w:t>
      </w:r>
      <w:r w:rsidRPr="002C26A9">
        <w:rPr>
          <w:szCs w:val="28"/>
        </w:rPr>
        <w:br/>
        <w:t>-ninguno-, por razón de género -positivo y no discriminatorio-, sobre la infancia y la adolescencia -ninguno- y la familia -ninguno-. En cuanto a su impacto sobre la simplificación administrativa, su incidencia también quedaría diferida y por concretar hasta verificarse el desarrollo reglamentario de los procedimientos previstos en la ley. Por último, se alude al obvio impacto positivo de la norma en relación con el tratamiento de las situaciones de discapacidad.</w:t>
      </w:r>
    </w:p>
    <w:p w:rsidR="006A1E88" w:rsidRPr="002C26A9" w:rsidRDefault="006A1E88" w:rsidP="006A1E88">
      <w:pPr>
        <w:rPr>
          <w:szCs w:val="28"/>
        </w:rPr>
      </w:pPr>
      <w:r w:rsidRPr="002C26A9">
        <w:rPr>
          <w:b/>
          <w:szCs w:val="28"/>
        </w:rPr>
        <w:t>Tercero.</w:t>
      </w:r>
      <w:r w:rsidRPr="002C26A9">
        <w:rPr>
          <w:szCs w:val="28"/>
        </w:rPr>
        <w:t xml:space="preserve"> </w:t>
      </w:r>
      <w:r w:rsidRPr="002C26A9">
        <w:rPr>
          <w:b/>
          <w:bCs/>
          <w:szCs w:val="28"/>
        </w:rPr>
        <w:t>Autorización de la iniciativa.-</w:t>
      </w:r>
      <w:r w:rsidRPr="002C26A9">
        <w:rPr>
          <w:szCs w:val="28"/>
        </w:rPr>
        <w:t xml:space="preserve"> A la vista de dicha </w:t>
      </w:r>
      <w:r w:rsidR="00C61D05" w:rsidRPr="002C26A9">
        <w:rPr>
          <w:szCs w:val="28"/>
        </w:rPr>
        <w:t>memoria</w:t>
      </w:r>
      <w:r w:rsidRPr="002C26A9">
        <w:rPr>
          <w:szCs w:val="28"/>
        </w:rPr>
        <w:t>, el día siguiente la Consejera de Bienestar Social autorizó el inicio del procedimiento de elaboración del anteproyecto de ley regulador en Castilla-La Mancha del acceso al entorno de las personas discapacitadas acompañadas de perros de asistencia.</w:t>
      </w:r>
    </w:p>
    <w:p w:rsidR="006A1E88" w:rsidRPr="002C26A9" w:rsidRDefault="006A1E88" w:rsidP="006A1E88">
      <w:pPr>
        <w:rPr>
          <w:szCs w:val="28"/>
        </w:rPr>
      </w:pPr>
      <w:r w:rsidRPr="002C26A9">
        <w:rPr>
          <w:b/>
          <w:szCs w:val="28"/>
        </w:rPr>
        <w:lastRenderedPageBreak/>
        <w:t xml:space="preserve">Cuarto. Primer borrador.- </w:t>
      </w:r>
      <w:r w:rsidRPr="002C26A9">
        <w:rPr>
          <w:szCs w:val="28"/>
        </w:rPr>
        <w:t xml:space="preserve">Se integra luego en el expediente un primer borrador del citado anteproyecto legal, titulado </w:t>
      </w:r>
      <w:r w:rsidRPr="002C26A9">
        <w:rPr>
          <w:i/>
          <w:szCs w:val="28"/>
        </w:rPr>
        <w:t>“de acceso al entorno de las personas discapacitadas acompañadas de perros de asistencia”</w:t>
      </w:r>
      <w:r w:rsidRPr="002C26A9">
        <w:rPr>
          <w:szCs w:val="28"/>
        </w:rPr>
        <w:t>, que consta de exposición de motivos, 30 artículos -encuadrados en cinco capítulos-, cuatro disposiciones adicionales, dos transitorias, una disposición derogatoria y seis finales.</w:t>
      </w:r>
    </w:p>
    <w:p w:rsidR="006A1E88" w:rsidRPr="002C26A9" w:rsidRDefault="006A1E88" w:rsidP="006A1E88">
      <w:pPr>
        <w:rPr>
          <w:szCs w:val="28"/>
        </w:rPr>
      </w:pPr>
      <w:r w:rsidRPr="002C26A9">
        <w:rPr>
          <w:b/>
          <w:szCs w:val="28"/>
        </w:rPr>
        <w:t>Quinto. Informe sobre racionalización y simplificación administrativa.-</w:t>
      </w:r>
      <w:r w:rsidRPr="002C26A9">
        <w:rPr>
          <w:szCs w:val="28"/>
        </w:rPr>
        <w:t xml:space="preserve"> Con fecha 24 de mayo de 2018 fue emitido informe favorable al texto legal proyectado por parte del Coordinador de Calidad de la Consejería promotora de la norma, indicando que el citado anteproyecto </w:t>
      </w:r>
      <w:r w:rsidRPr="002C26A9">
        <w:rPr>
          <w:i/>
          <w:szCs w:val="28"/>
        </w:rPr>
        <w:t>“no afecta a la simplificación administrativa y reducción de cargas de los procedimientos catalogados en la Consejería de Bienestar Social”</w:t>
      </w:r>
      <w:r w:rsidRPr="002C26A9">
        <w:rPr>
          <w:szCs w:val="28"/>
        </w:rPr>
        <w:t>, si bien el mismo contempla un nuevo procedimiento cuya trascendencia en cargas administrativas habrá de evaluarse con motivo de la tramitación del desarrollo reglamentario que aborde su regulación.</w:t>
      </w:r>
    </w:p>
    <w:p w:rsidR="006A1E88" w:rsidRPr="002C26A9" w:rsidRDefault="006A1E88" w:rsidP="006A1E88">
      <w:pPr>
        <w:rPr>
          <w:szCs w:val="28"/>
        </w:rPr>
      </w:pPr>
      <w:r w:rsidRPr="002C26A9">
        <w:rPr>
          <w:b/>
          <w:szCs w:val="28"/>
        </w:rPr>
        <w:t>Sexto. Informes de la Secretaría General.-</w:t>
      </w:r>
      <w:r w:rsidRPr="002C26A9">
        <w:rPr>
          <w:szCs w:val="28"/>
        </w:rPr>
        <w:t xml:space="preserve"> El texto legal proyectado fue informado con fecha 28 de mayo siguiente por la titular de la Secretaría General de la Consejería de Bienestar Social, analizándose, principalmente, la competencia para la tramitación de la iniciativa legislativa, el contenido de la norma proyectada y el procedimiento a seguir antes de su final sometimiento al Consejo de Gobierno. El informe concluye indicando que el texto estudiado respeta el ordenamiento jurídico, por lo que es informado favorablemente.</w:t>
      </w:r>
    </w:p>
    <w:p w:rsidR="006A1E88" w:rsidRPr="002C26A9" w:rsidRDefault="006A1E88" w:rsidP="006A1E88">
      <w:pPr>
        <w:rPr>
          <w:szCs w:val="28"/>
        </w:rPr>
      </w:pPr>
      <w:r w:rsidRPr="002C26A9">
        <w:rPr>
          <w:szCs w:val="28"/>
        </w:rPr>
        <w:t>En documento separado, pero datado en igual fecha, la citada Secretaria General hizo un estudio monográfico sobre el impacto de género de la norma legal proyectada, a los efectos previstos en el artículo 6.3 de la Ley 12/2010, de 18 de noviembre, de Igualdad entre Mujeres y Hombres de Castilla-La Mancha, concluyendo al respecto que la valoración de dicho impacto resulta positiva y no discriminatoria.</w:t>
      </w:r>
    </w:p>
    <w:p w:rsidR="006A1E88" w:rsidRPr="002C26A9" w:rsidRDefault="006A1E88" w:rsidP="006A1E88">
      <w:pPr>
        <w:rPr>
          <w:szCs w:val="28"/>
        </w:rPr>
      </w:pPr>
      <w:r w:rsidRPr="002C26A9">
        <w:rPr>
          <w:b/>
          <w:szCs w:val="28"/>
        </w:rPr>
        <w:t>Séptimo. Informe de la Inspección General de Servicios.-</w:t>
      </w:r>
      <w:r w:rsidRPr="002C26A9">
        <w:rPr>
          <w:szCs w:val="28"/>
        </w:rPr>
        <w:t xml:space="preserve"> El día siguiente fue emitido informe favorable al texto legal en tramitación por parte </w:t>
      </w:r>
      <w:r w:rsidRPr="002C26A9">
        <w:rPr>
          <w:szCs w:val="28"/>
        </w:rPr>
        <w:lastRenderedPageBreak/>
        <w:t xml:space="preserve">del personal de la Inspección General de Servicios, quien considerara que aquel </w:t>
      </w:r>
      <w:r w:rsidRPr="002C26A9">
        <w:rPr>
          <w:i/>
          <w:szCs w:val="28"/>
        </w:rPr>
        <w:t>“se ajusta y cumple”</w:t>
      </w:r>
      <w:r w:rsidRPr="002C26A9">
        <w:rPr>
          <w:szCs w:val="28"/>
        </w:rPr>
        <w:t xml:space="preserve"> con la normativa vigente de aplicación.</w:t>
      </w:r>
    </w:p>
    <w:p w:rsidR="006A1E88" w:rsidRPr="002C26A9" w:rsidRDefault="006A1E88" w:rsidP="006A1E88">
      <w:pPr>
        <w:rPr>
          <w:szCs w:val="28"/>
        </w:rPr>
      </w:pPr>
      <w:r w:rsidRPr="002C26A9">
        <w:rPr>
          <w:b/>
          <w:szCs w:val="28"/>
        </w:rPr>
        <w:t>Octavo. Información pública.-</w:t>
      </w:r>
      <w:r w:rsidRPr="002C26A9">
        <w:rPr>
          <w:szCs w:val="28"/>
        </w:rPr>
        <w:t xml:space="preserve"> Mediante resolución de la aludida Secretaria General de Bienestar Social se dispuso la apertura de un periodo de información pública en relación con el aludido proyecto normativo, cuyo anuncio fue hecho público en el Diario Oficial de Castilla-La Mancha de 30 de mayo posterior, otorgando a cuantos estuvieran interesados un plazo de veinte días para poder examinar el expediente y efectuar las alegaciones, observaciones o sugerencias que se estimasen oportunas.</w:t>
      </w:r>
    </w:p>
    <w:p w:rsidR="006A1E88" w:rsidRPr="002C26A9" w:rsidRDefault="006A1E88" w:rsidP="006A1E88">
      <w:pPr>
        <w:rPr>
          <w:szCs w:val="28"/>
        </w:rPr>
      </w:pPr>
      <w:r w:rsidRPr="002C26A9">
        <w:rPr>
          <w:b/>
          <w:bCs/>
          <w:szCs w:val="28"/>
        </w:rPr>
        <w:t>Noveno. Informe del Consejo Asesor de Servicios Sociales.-</w:t>
      </w:r>
      <w:r w:rsidRPr="002C26A9">
        <w:rPr>
          <w:szCs w:val="28"/>
        </w:rPr>
        <w:t xml:space="preserve"> En sesión celebrada el 4 de junio de 2018 el Consejo Asesor de Servicios Sociales acordó informar y valorar favorablemente el anteproyecto de </w:t>
      </w:r>
      <w:r w:rsidR="00C61D05" w:rsidRPr="002C26A9">
        <w:rPr>
          <w:szCs w:val="28"/>
        </w:rPr>
        <w:t xml:space="preserve">Ley </w:t>
      </w:r>
      <w:r w:rsidRPr="002C26A9">
        <w:rPr>
          <w:szCs w:val="28"/>
        </w:rPr>
        <w:t>redactado, lo que se deja acreditado en el expediente mediante certificado expedido por la Secretaria de dicho órgano colegiado.</w:t>
      </w:r>
    </w:p>
    <w:p w:rsidR="006A1E88" w:rsidRPr="002C26A9" w:rsidRDefault="006A1E88" w:rsidP="006A1E88">
      <w:pPr>
        <w:rPr>
          <w:szCs w:val="28"/>
        </w:rPr>
      </w:pPr>
      <w:r w:rsidRPr="002C26A9">
        <w:rPr>
          <w:b/>
          <w:szCs w:val="28"/>
        </w:rPr>
        <w:t xml:space="preserve">Décimo. Otros informes recibidos a raíz del trámite de consulta e información pública.- </w:t>
      </w:r>
      <w:r w:rsidRPr="002C26A9">
        <w:rPr>
          <w:szCs w:val="28"/>
        </w:rPr>
        <w:t>Con posterioridad, fueron recibidos los siguientes informes emitidos por diferentes órganos de la Administración Regional, quienes hicieron diversas observaciones sobre el contenido o tramitación del texto legal proyectado:</w:t>
      </w:r>
    </w:p>
    <w:p w:rsidR="006A1E88" w:rsidRPr="002C26A9" w:rsidRDefault="006A1E88" w:rsidP="006A1E88">
      <w:pPr>
        <w:rPr>
          <w:szCs w:val="28"/>
        </w:rPr>
      </w:pPr>
      <w:r w:rsidRPr="002C26A9">
        <w:rPr>
          <w:szCs w:val="28"/>
        </w:rPr>
        <w:t>a) Del Director General de Asistencia Sanitaria del Servicio de Salud de Castilla-La Mancha (SESCAM).</w:t>
      </w:r>
    </w:p>
    <w:p w:rsidR="006A1E88" w:rsidRPr="002C26A9" w:rsidRDefault="006A1E88" w:rsidP="006A1E88">
      <w:pPr>
        <w:rPr>
          <w:szCs w:val="28"/>
        </w:rPr>
      </w:pPr>
      <w:r w:rsidRPr="002C26A9">
        <w:rPr>
          <w:szCs w:val="28"/>
        </w:rPr>
        <w:t>b) Del Director General de la Función Pública.</w:t>
      </w:r>
    </w:p>
    <w:p w:rsidR="006A1E88" w:rsidRPr="002C26A9" w:rsidRDefault="006A1E88" w:rsidP="006A1E88">
      <w:pPr>
        <w:rPr>
          <w:szCs w:val="28"/>
        </w:rPr>
      </w:pPr>
      <w:r w:rsidRPr="002C26A9">
        <w:rPr>
          <w:szCs w:val="28"/>
        </w:rPr>
        <w:t>c) De la Directora General de Turismo, Comercio y Artesanía.</w:t>
      </w:r>
    </w:p>
    <w:p w:rsidR="006A1E88" w:rsidRPr="002C26A9" w:rsidRDefault="006A1E88" w:rsidP="006A1E88">
      <w:pPr>
        <w:rPr>
          <w:szCs w:val="28"/>
        </w:rPr>
      </w:pPr>
      <w:r w:rsidRPr="002C26A9">
        <w:rPr>
          <w:szCs w:val="28"/>
        </w:rPr>
        <w:t>d) Del Director General de Recursos Humanos y Planificación Educativa de la Consejería de Educación, Cultura y Deportes.</w:t>
      </w:r>
    </w:p>
    <w:p w:rsidR="006A1E88" w:rsidRPr="002C26A9" w:rsidRDefault="006A1E88" w:rsidP="006A1E88">
      <w:pPr>
        <w:rPr>
          <w:szCs w:val="28"/>
        </w:rPr>
      </w:pPr>
      <w:r w:rsidRPr="002C26A9">
        <w:rPr>
          <w:b/>
          <w:szCs w:val="28"/>
        </w:rPr>
        <w:t>Undécimo. Informe del Consejo Regional de Municipios.-</w:t>
      </w:r>
      <w:r w:rsidRPr="002C26A9">
        <w:rPr>
          <w:szCs w:val="28"/>
        </w:rPr>
        <w:t xml:space="preserve"> En sesión desarrollada el 14 de junio de 2018 el Consejo Regional de Municipios de Castilla-La Mancha acordó informar favorablemente el anteproyecto de </w:t>
      </w:r>
      <w:r w:rsidR="00C61D05" w:rsidRPr="002C26A9">
        <w:rPr>
          <w:szCs w:val="28"/>
        </w:rPr>
        <w:lastRenderedPageBreak/>
        <w:t xml:space="preserve">Ley </w:t>
      </w:r>
      <w:r w:rsidRPr="002C26A9">
        <w:rPr>
          <w:szCs w:val="28"/>
        </w:rPr>
        <w:t>redactado, lo que se acredita mediante certificado expedido por la Secretaria del referido órgano de participación.</w:t>
      </w:r>
    </w:p>
    <w:p w:rsidR="006A1E88" w:rsidRPr="002C26A9" w:rsidRDefault="006A1E88" w:rsidP="006A1E88">
      <w:pPr>
        <w:rPr>
          <w:szCs w:val="28"/>
        </w:rPr>
      </w:pPr>
      <w:r w:rsidRPr="002C26A9">
        <w:rPr>
          <w:b/>
          <w:szCs w:val="28"/>
        </w:rPr>
        <w:t>Duodécimo. Informe del Consejo Regional de Consumo.-</w:t>
      </w:r>
      <w:r w:rsidRPr="002C26A9">
        <w:rPr>
          <w:szCs w:val="28"/>
        </w:rPr>
        <w:t xml:space="preserve"> Se acrecita igualmente, mediante inserción de la pertinente certificación, que el texto legal proyectado fue informado favorablemente por parte del Consejo Regional de Consumo de Castilla-La Mancha, en reunión celebrada con fecha 28 de junio siguiente.</w:t>
      </w:r>
    </w:p>
    <w:p w:rsidR="006A1E88" w:rsidRPr="002C26A9" w:rsidRDefault="006A1E88" w:rsidP="006A1E88">
      <w:pPr>
        <w:rPr>
          <w:szCs w:val="28"/>
        </w:rPr>
      </w:pPr>
      <w:r w:rsidRPr="002C26A9">
        <w:rPr>
          <w:b/>
          <w:szCs w:val="28"/>
        </w:rPr>
        <w:t>Decimotercero. Otras alegaciones.-</w:t>
      </w:r>
      <w:r w:rsidRPr="002C26A9">
        <w:rPr>
          <w:szCs w:val="28"/>
        </w:rPr>
        <w:t xml:space="preserve"> Se integran seguidamente en el expediente -folios 89 al 127- varios escritos y comunicaciones comprensivos de diversas alegaciones u observaciones formuladas en relación con el anteproyecto legal en proceso de tramitación.</w:t>
      </w:r>
    </w:p>
    <w:p w:rsidR="006A1E88" w:rsidRPr="002C26A9" w:rsidRDefault="006A1E88" w:rsidP="006A1E88">
      <w:pPr>
        <w:rPr>
          <w:szCs w:val="28"/>
        </w:rPr>
      </w:pPr>
      <w:r w:rsidRPr="002C26A9">
        <w:rPr>
          <w:b/>
          <w:szCs w:val="28"/>
        </w:rPr>
        <w:t xml:space="preserve">Decimocuarto. Informe sobre alegaciones.- </w:t>
      </w:r>
      <w:r w:rsidRPr="002C26A9">
        <w:rPr>
          <w:szCs w:val="28"/>
        </w:rPr>
        <w:t>A la vista de las alegaciones y propuestas recibidas, la Secretaria General de la Consejería de Bienestar Social emitió un informe, el 29 de junio de 2018, en el que se hace una exposición sistemática de las mismas que refleja el tratamiento dado a las observaciones, sugerencias y aportaciones formuladas, así como l</w:t>
      </w:r>
      <w:r w:rsidR="00C61D05" w:rsidRPr="002C26A9">
        <w:rPr>
          <w:szCs w:val="28"/>
        </w:rPr>
        <w:t>a</w:t>
      </w:r>
      <w:r w:rsidRPr="002C26A9">
        <w:rPr>
          <w:szCs w:val="28"/>
        </w:rPr>
        <w:t>s razones ponderadas en cada caso para su aceptación o rechazo.</w:t>
      </w:r>
    </w:p>
    <w:p w:rsidR="006A1E88" w:rsidRPr="002C26A9" w:rsidRDefault="006A1E88" w:rsidP="006A1E88">
      <w:pPr>
        <w:rPr>
          <w:szCs w:val="28"/>
        </w:rPr>
      </w:pPr>
      <w:r w:rsidRPr="002C26A9">
        <w:rPr>
          <w:b/>
          <w:szCs w:val="28"/>
        </w:rPr>
        <w:t>Decimoquinto. Segundo borrador.-</w:t>
      </w:r>
      <w:r w:rsidRPr="002C26A9">
        <w:rPr>
          <w:szCs w:val="28"/>
        </w:rPr>
        <w:t xml:space="preserve"> Con posterioridad, se integra en el expediente un segundo borrador del anteproyecto de </w:t>
      </w:r>
      <w:r w:rsidR="00C61D05" w:rsidRPr="002C26A9">
        <w:rPr>
          <w:szCs w:val="28"/>
        </w:rPr>
        <w:t>Ley</w:t>
      </w:r>
      <w:r w:rsidRPr="002C26A9">
        <w:rPr>
          <w:szCs w:val="28"/>
        </w:rPr>
        <w:t>, que mantiene la misma estructura compositiva de su versión precedente.</w:t>
      </w:r>
    </w:p>
    <w:p w:rsidR="006A1E88" w:rsidRPr="002C26A9" w:rsidRDefault="006A1E88" w:rsidP="006A1E88">
      <w:pPr>
        <w:rPr>
          <w:szCs w:val="28"/>
        </w:rPr>
      </w:pPr>
      <w:r w:rsidRPr="002C26A9">
        <w:rPr>
          <w:b/>
          <w:szCs w:val="28"/>
        </w:rPr>
        <w:t>Decimosexto. Informe del Gabinete Jurídico.-</w:t>
      </w:r>
      <w:r w:rsidRPr="002C26A9">
        <w:rPr>
          <w:szCs w:val="28"/>
        </w:rPr>
        <w:t xml:space="preserve"> Seguidamente, se emitió informe por parte del Gabinete Jurídico de la Junta de Comunidades, datado a 17 de julio de 2018, en el que, tras reflejarse los principales antecedentes normativos a tomar en consideración, el ámbito competencial concernido por la iniciativa, el procedimiento sustanciado para su elaboración y el propio contenido del anteproyecto, se efectúan varias observaciones y propuestas al mismo, sin perjuicio de las cuales se emite un pronunciamiento favorable al texto legal en proceso de aprobación.</w:t>
      </w:r>
    </w:p>
    <w:p w:rsidR="006A1E88" w:rsidRPr="002C26A9" w:rsidRDefault="006A1E88" w:rsidP="006A1E88">
      <w:pPr>
        <w:rPr>
          <w:szCs w:val="28"/>
        </w:rPr>
      </w:pPr>
      <w:r w:rsidRPr="002C26A9">
        <w:rPr>
          <w:b/>
          <w:szCs w:val="28"/>
        </w:rPr>
        <w:t xml:space="preserve">Decimoséptimo. Informe de la Secretaría General.- </w:t>
      </w:r>
      <w:r w:rsidRPr="002C26A9">
        <w:rPr>
          <w:szCs w:val="28"/>
        </w:rPr>
        <w:t xml:space="preserve">Con fecha 20 de julio posterior se integra en el expediente un nuevo informe de la Secretaria General de la Consejería consultante, en el que se hace una valoración de las </w:t>
      </w:r>
      <w:r w:rsidRPr="002C26A9">
        <w:rPr>
          <w:szCs w:val="28"/>
        </w:rPr>
        <w:lastRenderedPageBreak/>
        <w:t>observaciones recibidas del Gabinete Jurídico, explicando cuál ha sido su incidencia en el texto proyectado.</w:t>
      </w:r>
    </w:p>
    <w:p w:rsidR="006A1E88" w:rsidRPr="002C26A9" w:rsidRDefault="006A1E88" w:rsidP="006A1E88">
      <w:pPr>
        <w:rPr>
          <w:szCs w:val="28"/>
        </w:rPr>
      </w:pPr>
      <w:r w:rsidRPr="002C26A9">
        <w:rPr>
          <w:b/>
          <w:szCs w:val="28"/>
        </w:rPr>
        <w:t>Decimoctavo. Toma en consideración por el Consejo de Gobierno.-</w:t>
      </w:r>
      <w:r w:rsidRPr="002C26A9">
        <w:rPr>
          <w:szCs w:val="28"/>
        </w:rPr>
        <w:t xml:space="preserve"> Se acredita también que el Consejo de Gobierno, en su reunión de 31 de julio de 2018, acordó tomar en consideración el anteproyecto de </w:t>
      </w:r>
      <w:r w:rsidR="00C61D05" w:rsidRPr="002C26A9">
        <w:rPr>
          <w:szCs w:val="28"/>
        </w:rPr>
        <w:t xml:space="preserve">Ley </w:t>
      </w:r>
      <w:r w:rsidRPr="002C26A9">
        <w:rPr>
          <w:i/>
          <w:szCs w:val="28"/>
        </w:rPr>
        <w:t>“de acceso al entorno de las personas discapacitadas acompañadas de perros de asistencia”</w:t>
      </w:r>
      <w:r w:rsidRPr="002C26A9">
        <w:rPr>
          <w:szCs w:val="28"/>
        </w:rPr>
        <w:t>, así como su remisión a este órgano consultivo para recabar el dictamen correspondiente.</w:t>
      </w:r>
    </w:p>
    <w:p w:rsidR="006A1E88" w:rsidRPr="002C26A9" w:rsidRDefault="006A1E88" w:rsidP="006A1E88">
      <w:pPr>
        <w:rPr>
          <w:szCs w:val="28"/>
        </w:rPr>
      </w:pPr>
      <w:r w:rsidRPr="002C26A9">
        <w:rPr>
          <w:b/>
          <w:szCs w:val="28"/>
        </w:rPr>
        <w:t>Decimonoveno. Último t</w:t>
      </w:r>
      <w:r w:rsidRPr="002C26A9">
        <w:rPr>
          <w:b/>
          <w:bCs/>
          <w:szCs w:val="28"/>
        </w:rPr>
        <w:t>exto del anteproyecto.-</w:t>
      </w:r>
      <w:r w:rsidRPr="002C26A9">
        <w:rPr>
          <w:bCs/>
          <w:szCs w:val="28"/>
        </w:rPr>
        <w:t xml:space="preserve"> El expediente</w:t>
      </w:r>
      <w:r w:rsidRPr="002C26A9">
        <w:rPr>
          <w:szCs w:val="28"/>
        </w:rPr>
        <w:t xml:space="preserve"> se completa con el texto definitivo del anteproyecto de </w:t>
      </w:r>
      <w:r w:rsidR="00C61D05" w:rsidRPr="002C26A9">
        <w:rPr>
          <w:szCs w:val="28"/>
        </w:rPr>
        <w:t xml:space="preserve">Ley </w:t>
      </w:r>
      <w:r w:rsidRPr="002C26A9">
        <w:rPr>
          <w:szCs w:val="28"/>
        </w:rPr>
        <w:t xml:space="preserve">sometido a dictamen, titulado </w:t>
      </w:r>
      <w:r w:rsidRPr="002C26A9">
        <w:rPr>
          <w:i/>
          <w:szCs w:val="28"/>
        </w:rPr>
        <w:t>“de acceso al entorno de las personas discapacitadas acompañadas de perros de asistencia”</w:t>
      </w:r>
      <w:r w:rsidRPr="002C26A9">
        <w:rPr>
          <w:szCs w:val="28"/>
        </w:rPr>
        <w:t>, que consta finalmente de exposición de motivos, 30 artículos -encuadrados en cinco capítulos-, cinco disposiciones adicionales, dos disposiciones transitorias, una disposición derogatoria y seis disposiciones finales.</w:t>
      </w:r>
    </w:p>
    <w:p w:rsidR="006A1E88" w:rsidRPr="002C26A9" w:rsidRDefault="006A1E88" w:rsidP="006A1E88">
      <w:pPr>
        <w:rPr>
          <w:szCs w:val="28"/>
        </w:rPr>
      </w:pPr>
      <w:r w:rsidRPr="002C26A9">
        <w:rPr>
          <w:szCs w:val="28"/>
        </w:rPr>
        <w:t>La exposición de motivos hace una extensa mención a los precedentes normativos internacionales, estatales y autonómicos que guardan relación con las previsiones plasmadas en la disposición proyectada, pasando a explicar las razones que justifican la implantación de las medidas de accesibilidad universal contempladas en dicha iniciativa a fin de evitar discriminaciones que redunden en perjuicio de las personas afectadas de discapacidades. También se describe la estructura de la disposición y el sentido de algunas de sus principales determinaciones.</w:t>
      </w:r>
    </w:p>
    <w:p w:rsidR="006A1E88" w:rsidRPr="002C26A9" w:rsidRDefault="006A1E88" w:rsidP="006A1E88">
      <w:pPr>
        <w:rPr>
          <w:bCs/>
          <w:szCs w:val="28"/>
        </w:rPr>
      </w:pPr>
      <w:r w:rsidRPr="002C26A9">
        <w:rPr>
          <w:bCs/>
          <w:szCs w:val="28"/>
        </w:rPr>
        <w:t xml:space="preserve">El capítulo I, denominado </w:t>
      </w:r>
      <w:r w:rsidRPr="002C26A9">
        <w:rPr>
          <w:bCs/>
          <w:i/>
          <w:szCs w:val="28"/>
        </w:rPr>
        <w:t>“Disposiciones generales”</w:t>
      </w:r>
      <w:r w:rsidRPr="002C26A9">
        <w:rPr>
          <w:bCs/>
          <w:szCs w:val="28"/>
        </w:rPr>
        <w:t xml:space="preserve">, consta de cuatro artículos que se ocupan, sucesivamente, del </w:t>
      </w:r>
      <w:r w:rsidRPr="002C26A9">
        <w:rPr>
          <w:bCs/>
          <w:i/>
          <w:szCs w:val="28"/>
        </w:rPr>
        <w:t>“Objeto”</w:t>
      </w:r>
      <w:r w:rsidRPr="002C26A9">
        <w:rPr>
          <w:bCs/>
          <w:szCs w:val="28"/>
        </w:rPr>
        <w:t xml:space="preserve"> de la ley </w:t>
      </w:r>
      <w:r w:rsidRPr="002C26A9">
        <w:rPr>
          <w:bCs/>
          <w:szCs w:val="28"/>
        </w:rPr>
        <w:br/>
        <w:t xml:space="preserve">-artículo 1-, </w:t>
      </w:r>
      <w:r w:rsidRPr="002C26A9">
        <w:rPr>
          <w:bCs/>
          <w:i/>
          <w:szCs w:val="28"/>
        </w:rPr>
        <w:t>“Definiciones”</w:t>
      </w:r>
      <w:r w:rsidRPr="002C26A9">
        <w:rPr>
          <w:bCs/>
          <w:szCs w:val="28"/>
        </w:rPr>
        <w:t xml:space="preserve"> a efectos de la propia ley -artículo 2-, su </w:t>
      </w:r>
      <w:r w:rsidRPr="002C26A9">
        <w:rPr>
          <w:bCs/>
          <w:i/>
          <w:szCs w:val="28"/>
        </w:rPr>
        <w:t>“Ámbito de aplicación”</w:t>
      </w:r>
      <w:r w:rsidRPr="002C26A9">
        <w:rPr>
          <w:bCs/>
          <w:szCs w:val="28"/>
        </w:rPr>
        <w:t xml:space="preserve"> -artículo 3- y la </w:t>
      </w:r>
      <w:r w:rsidRPr="002C26A9">
        <w:rPr>
          <w:bCs/>
          <w:i/>
          <w:szCs w:val="28"/>
        </w:rPr>
        <w:t>“Clasificación de los perros de asistencia”</w:t>
      </w:r>
      <w:r w:rsidRPr="002C26A9">
        <w:rPr>
          <w:bCs/>
          <w:szCs w:val="28"/>
        </w:rPr>
        <w:t xml:space="preserve"> </w:t>
      </w:r>
      <w:r w:rsidRPr="002C26A9">
        <w:rPr>
          <w:bCs/>
          <w:szCs w:val="28"/>
        </w:rPr>
        <w:br/>
        <w:t>-artículo 4-.</w:t>
      </w:r>
    </w:p>
    <w:p w:rsidR="006A1E88" w:rsidRPr="002C26A9" w:rsidRDefault="006A1E88" w:rsidP="006A1E88">
      <w:pPr>
        <w:rPr>
          <w:bCs/>
          <w:szCs w:val="28"/>
        </w:rPr>
      </w:pPr>
      <w:r w:rsidRPr="002C26A9">
        <w:rPr>
          <w:bCs/>
          <w:szCs w:val="28"/>
        </w:rPr>
        <w:t xml:space="preserve">El capítulo II trata de los </w:t>
      </w:r>
      <w:r w:rsidRPr="002C26A9">
        <w:rPr>
          <w:bCs/>
          <w:i/>
          <w:szCs w:val="28"/>
        </w:rPr>
        <w:t>“Derechos y obligaciones”</w:t>
      </w:r>
      <w:r w:rsidRPr="002C26A9">
        <w:rPr>
          <w:bCs/>
          <w:szCs w:val="28"/>
        </w:rPr>
        <w:t xml:space="preserve"> y comprende nueve artículos, los cuales versan sobre el tratamiento general del </w:t>
      </w:r>
      <w:r w:rsidRPr="002C26A9">
        <w:rPr>
          <w:bCs/>
          <w:i/>
          <w:szCs w:val="28"/>
        </w:rPr>
        <w:t>“derecho de acceso al entorno”</w:t>
      </w:r>
      <w:r w:rsidRPr="002C26A9">
        <w:rPr>
          <w:bCs/>
          <w:szCs w:val="28"/>
        </w:rPr>
        <w:t xml:space="preserve"> -artículo 5- y sus particularidades en relación con los </w:t>
      </w:r>
      <w:r w:rsidRPr="002C26A9">
        <w:rPr>
          <w:bCs/>
          <w:i/>
          <w:szCs w:val="28"/>
        </w:rPr>
        <w:lastRenderedPageBreak/>
        <w:t>“lugares y espacios públicos o de uso público”</w:t>
      </w:r>
      <w:r w:rsidRPr="002C26A9">
        <w:rPr>
          <w:bCs/>
          <w:szCs w:val="28"/>
        </w:rPr>
        <w:t xml:space="preserve"> -artículo 6-, los medios de transporte públicos y privados -artículo 7-, </w:t>
      </w:r>
      <w:r w:rsidRPr="002C26A9">
        <w:rPr>
          <w:bCs/>
          <w:i/>
          <w:szCs w:val="28"/>
        </w:rPr>
        <w:t>“el entorno laboral”</w:t>
      </w:r>
      <w:r w:rsidRPr="002C26A9">
        <w:rPr>
          <w:bCs/>
          <w:szCs w:val="28"/>
        </w:rPr>
        <w:t xml:space="preserve"> -artículo 8-, </w:t>
      </w:r>
      <w:r w:rsidRPr="002C26A9">
        <w:rPr>
          <w:bCs/>
          <w:i/>
          <w:szCs w:val="28"/>
        </w:rPr>
        <w:t>“los lugares y espacios privados de uso colectivo”</w:t>
      </w:r>
      <w:r w:rsidRPr="002C26A9">
        <w:rPr>
          <w:bCs/>
          <w:szCs w:val="28"/>
        </w:rPr>
        <w:t xml:space="preserve"> -artículo 9-, las </w:t>
      </w:r>
      <w:r w:rsidRPr="002C26A9">
        <w:rPr>
          <w:bCs/>
          <w:i/>
          <w:szCs w:val="28"/>
        </w:rPr>
        <w:t>“limitaciones del derecho de acceso al entorno”</w:t>
      </w:r>
      <w:r w:rsidRPr="002C26A9">
        <w:rPr>
          <w:bCs/>
          <w:szCs w:val="28"/>
        </w:rPr>
        <w:t xml:space="preserve"> -artículo 10-, las singularidades del derecho para adiestradores y educadores de perros de asistencia -artículo 11-, las </w:t>
      </w:r>
      <w:r w:rsidRPr="002C26A9">
        <w:rPr>
          <w:bCs/>
          <w:i/>
          <w:szCs w:val="28"/>
        </w:rPr>
        <w:t>“Obligaciones”</w:t>
      </w:r>
      <w:r w:rsidRPr="002C26A9">
        <w:rPr>
          <w:bCs/>
          <w:szCs w:val="28"/>
        </w:rPr>
        <w:t xml:space="preserve"> -artículo 12- y la </w:t>
      </w:r>
      <w:r w:rsidRPr="002C26A9">
        <w:rPr>
          <w:bCs/>
          <w:i/>
          <w:szCs w:val="28"/>
        </w:rPr>
        <w:t>“Responsabilidad de las personas usuarias”</w:t>
      </w:r>
      <w:r w:rsidRPr="002C26A9">
        <w:rPr>
          <w:bCs/>
          <w:szCs w:val="28"/>
        </w:rPr>
        <w:t xml:space="preserve"> -artículo 13-.</w:t>
      </w:r>
    </w:p>
    <w:p w:rsidR="006A1E88" w:rsidRPr="002C26A9" w:rsidRDefault="006A1E88" w:rsidP="006A1E88">
      <w:pPr>
        <w:rPr>
          <w:bCs/>
          <w:szCs w:val="28"/>
        </w:rPr>
      </w:pPr>
      <w:r w:rsidRPr="002C26A9">
        <w:rPr>
          <w:bCs/>
          <w:szCs w:val="28"/>
        </w:rPr>
        <w:t xml:space="preserve">El capítulo III versa sobre el </w:t>
      </w:r>
      <w:r w:rsidRPr="002C26A9">
        <w:rPr>
          <w:bCs/>
          <w:i/>
          <w:szCs w:val="28"/>
        </w:rPr>
        <w:t>“Reconocimiento, suspensión y pérdida de la condición de perro de asistencia”</w:t>
      </w:r>
      <w:r w:rsidRPr="002C26A9">
        <w:rPr>
          <w:bCs/>
          <w:szCs w:val="28"/>
        </w:rPr>
        <w:t xml:space="preserve">, abordando dichas cuestiones </w:t>
      </w:r>
      <w:r w:rsidRPr="002C26A9">
        <w:rPr>
          <w:bCs/>
          <w:szCs w:val="28"/>
        </w:rPr>
        <w:br/>
        <w:t xml:space="preserve">-artículos 14, 17 y 18-, así como el modo de identificación de dicha clase de perros -artículo 15-, las condiciones higiénico-sanitarias que han de mantener -artículo 16-, los efectos de las resoluciones dictadas en esas materias -artículo 19- y el llamado </w:t>
      </w:r>
      <w:r w:rsidRPr="002C26A9">
        <w:rPr>
          <w:bCs/>
          <w:i/>
          <w:szCs w:val="28"/>
        </w:rPr>
        <w:t>“Registro de Unidades de Vinculación”</w:t>
      </w:r>
      <w:r w:rsidRPr="002C26A9">
        <w:rPr>
          <w:bCs/>
          <w:szCs w:val="28"/>
        </w:rPr>
        <w:t xml:space="preserve"> -artículo 20-.</w:t>
      </w:r>
    </w:p>
    <w:p w:rsidR="006A1E88" w:rsidRPr="002C26A9" w:rsidRDefault="006A1E88" w:rsidP="006A1E88">
      <w:pPr>
        <w:rPr>
          <w:bCs/>
          <w:szCs w:val="28"/>
        </w:rPr>
      </w:pPr>
      <w:r w:rsidRPr="002C26A9">
        <w:rPr>
          <w:bCs/>
          <w:szCs w:val="28"/>
        </w:rPr>
        <w:t xml:space="preserve">El capítulo IV se ocupa de las </w:t>
      </w:r>
      <w:r w:rsidRPr="002C26A9">
        <w:rPr>
          <w:bCs/>
          <w:i/>
          <w:szCs w:val="28"/>
        </w:rPr>
        <w:t>“Entidades de adiestramiento de perros de asistencia y capacitación profesional de la persona adiestradora”</w:t>
      </w:r>
      <w:r w:rsidRPr="002C26A9">
        <w:rPr>
          <w:bCs/>
          <w:szCs w:val="28"/>
        </w:rPr>
        <w:t>, aspectos a los que dedica sus artículos 21 y 22.</w:t>
      </w:r>
    </w:p>
    <w:p w:rsidR="006A1E88" w:rsidRPr="002C26A9" w:rsidRDefault="006A1E88" w:rsidP="006A1E88">
      <w:pPr>
        <w:rPr>
          <w:bCs/>
          <w:szCs w:val="28"/>
        </w:rPr>
      </w:pPr>
      <w:r w:rsidRPr="002C26A9">
        <w:rPr>
          <w:bCs/>
          <w:szCs w:val="28"/>
        </w:rPr>
        <w:t xml:space="preserve">El capítulo V acomete la configuración de un </w:t>
      </w:r>
      <w:r w:rsidRPr="002C26A9">
        <w:rPr>
          <w:bCs/>
          <w:i/>
          <w:szCs w:val="28"/>
        </w:rPr>
        <w:t>“Régimen Sancionador”</w:t>
      </w:r>
      <w:r w:rsidRPr="002C26A9">
        <w:rPr>
          <w:bCs/>
          <w:szCs w:val="28"/>
        </w:rPr>
        <w:t xml:space="preserve"> específico, con ocho artículos relativos a las </w:t>
      </w:r>
      <w:r w:rsidRPr="002C26A9">
        <w:rPr>
          <w:bCs/>
          <w:i/>
          <w:szCs w:val="28"/>
        </w:rPr>
        <w:t>“Infracciones y sanciones”</w:t>
      </w:r>
      <w:r w:rsidRPr="002C26A9">
        <w:rPr>
          <w:bCs/>
          <w:szCs w:val="28"/>
        </w:rPr>
        <w:t xml:space="preserve"> -artículo 23-, los </w:t>
      </w:r>
      <w:r w:rsidRPr="002C26A9">
        <w:rPr>
          <w:bCs/>
          <w:i/>
          <w:szCs w:val="28"/>
        </w:rPr>
        <w:t>“Sujetos responsables”</w:t>
      </w:r>
      <w:r w:rsidRPr="002C26A9">
        <w:rPr>
          <w:bCs/>
          <w:szCs w:val="28"/>
        </w:rPr>
        <w:t xml:space="preserve"> -artículo 24-, la </w:t>
      </w:r>
      <w:r w:rsidRPr="002C26A9">
        <w:rPr>
          <w:bCs/>
          <w:i/>
          <w:szCs w:val="28"/>
        </w:rPr>
        <w:t>“Clasificación de las infracciones”</w:t>
      </w:r>
      <w:r w:rsidRPr="002C26A9">
        <w:rPr>
          <w:bCs/>
          <w:szCs w:val="28"/>
        </w:rPr>
        <w:t xml:space="preserve"> -artículo 25-, las </w:t>
      </w:r>
      <w:r w:rsidRPr="002C26A9">
        <w:rPr>
          <w:bCs/>
          <w:i/>
          <w:szCs w:val="28"/>
        </w:rPr>
        <w:t>“Sanciones”</w:t>
      </w:r>
      <w:r w:rsidRPr="002C26A9">
        <w:rPr>
          <w:bCs/>
          <w:szCs w:val="28"/>
        </w:rPr>
        <w:t xml:space="preserve"> -artículo 26-, la </w:t>
      </w:r>
      <w:r w:rsidRPr="002C26A9">
        <w:rPr>
          <w:bCs/>
          <w:i/>
          <w:szCs w:val="28"/>
        </w:rPr>
        <w:t>“Graduación de las sanciones”</w:t>
      </w:r>
      <w:r w:rsidRPr="002C26A9">
        <w:rPr>
          <w:bCs/>
          <w:szCs w:val="28"/>
        </w:rPr>
        <w:t xml:space="preserve"> -artículo 27-, los </w:t>
      </w:r>
      <w:r w:rsidRPr="002C26A9">
        <w:rPr>
          <w:bCs/>
          <w:i/>
          <w:szCs w:val="28"/>
        </w:rPr>
        <w:t>“Órganos sancionadores”</w:t>
      </w:r>
      <w:r w:rsidRPr="002C26A9">
        <w:rPr>
          <w:bCs/>
          <w:szCs w:val="28"/>
        </w:rPr>
        <w:t xml:space="preserve"> -artículo 28-, el </w:t>
      </w:r>
      <w:r w:rsidRPr="002C26A9">
        <w:rPr>
          <w:bCs/>
          <w:i/>
          <w:szCs w:val="28"/>
        </w:rPr>
        <w:t>“Procedimiento”</w:t>
      </w:r>
      <w:r w:rsidRPr="002C26A9">
        <w:rPr>
          <w:bCs/>
          <w:szCs w:val="28"/>
        </w:rPr>
        <w:t xml:space="preserve"> sancionador -artículo 29- y la </w:t>
      </w:r>
      <w:r w:rsidRPr="002C26A9">
        <w:rPr>
          <w:bCs/>
          <w:i/>
          <w:szCs w:val="28"/>
        </w:rPr>
        <w:t>“Prescripción de infracciones y sanciones”</w:t>
      </w:r>
      <w:r w:rsidRPr="002C26A9">
        <w:rPr>
          <w:bCs/>
          <w:szCs w:val="28"/>
        </w:rPr>
        <w:t xml:space="preserve"> -artículo 30-.</w:t>
      </w:r>
    </w:p>
    <w:p w:rsidR="006A1E88" w:rsidRPr="002C26A9" w:rsidRDefault="006A1E88" w:rsidP="006A1E88">
      <w:pPr>
        <w:rPr>
          <w:bCs/>
          <w:szCs w:val="28"/>
        </w:rPr>
      </w:pPr>
      <w:r w:rsidRPr="002C26A9">
        <w:rPr>
          <w:bCs/>
          <w:szCs w:val="28"/>
        </w:rPr>
        <w:t xml:space="preserve">Las cinco disposiciones adicionales versan, respectivamente, sobre el tratamiento de las estancias temporales -la primera-, el desarrollo de </w:t>
      </w:r>
      <w:r w:rsidRPr="002C26A9">
        <w:rPr>
          <w:bCs/>
          <w:i/>
          <w:szCs w:val="28"/>
        </w:rPr>
        <w:t>“Campañas informativas”</w:t>
      </w:r>
      <w:r w:rsidRPr="002C26A9">
        <w:rPr>
          <w:bCs/>
          <w:szCs w:val="28"/>
        </w:rPr>
        <w:t xml:space="preserve"> -la segunda-, adaptaciones terminológicas -la tercera-, el permiso retribuido para asistir a cursos de formación -la cuarta- y la posesión de perros de asistencia jubilados -la quinta-.</w:t>
      </w:r>
    </w:p>
    <w:p w:rsidR="006A1E88" w:rsidRPr="002C26A9" w:rsidRDefault="006A1E88" w:rsidP="006A1E88">
      <w:pPr>
        <w:rPr>
          <w:bCs/>
          <w:szCs w:val="28"/>
        </w:rPr>
      </w:pPr>
      <w:r w:rsidRPr="002C26A9">
        <w:rPr>
          <w:bCs/>
          <w:szCs w:val="28"/>
        </w:rPr>
        <w:t>Las dos disposiciones transitorias tratan sobre el modo de reconocimiento de la condición de perros de asistencia a los perros guía y otros perros de asistencia existentes a la entrada en vigor de la ley.</w:t>
      </w:r>
    </w:p>
    <w:p w:rsidR="006A1E88" w:rsidRPr="002C26A9" w:rsidRDefault="006A1E88" w:rsidP="006A1E88">
      <w:pPr>
        <w:rPr>
          <w:bCs/>
          <w:szCs w:val="28"/>
        </w:rPr>
      </w:pPr>
      <w:r w:rsidRPr="002C26A9">
        <w:rPr>
          <w:bCs/>
          <w:szCs w:val="28"/>
        </w:rPr>
        <w:lastRenderedPageBreak/>
        <w:t>La disposición derogatoria establece tal efecto para varios preceptos concretos de tres normas precedentes, así como una derogación genérica de cuantas disposiciones de igual o inferior rango se opongan a la ley.</w:t>
      </w:r>
    </w:p>
    <w:p w:rsidR="006A1E88" w:rsidRPr="002C26A9" w:rsidRDefault="006A1E88" w:rsidP="006A1E88">
      <w:pPr>
        <w:rPr>
          <w:bCs/>
          <w:szCs w:val="28"/>
        </w:rPr>
      </w:pPr>
      <w:r w:rsidRPr="002C26A9">
        <w:rPr>
          <w:bCs/>
          <w:szCs w:val="28"/>
        </w:rPr>
        <w:t xml:space="preserve">Las seis disposiciones finales se ocupan, respectivamente, de la modificación puntual de la Ley 1/1994, de 24 de mayo -la primera-, la </w:t>
      </w:r>
      <w:r w:rsidRPr="002C26A9">
        <w:rPr>
          <w:bCs/>
          <w:i/>
          <w:szCs w:val="28"/>
        </w:rPr>
        <w:t>“Adaptación de las ordenanzas municipales”</w:t>
      </w:r>
      <w:r w:rsidRPr="002C26A9">
        <w:rPr>
          <w:bCs/>
          <w:szCs w:val="28"/>
        </w:rPr>
        <w:t xml:space="preserve"> -la segunda-, la posible </w:t>
      </w:r>
      <w:r w:rsidRPr="002C26A9">
        <w:rPr>
          <w:bCs/>
          <w:i/>
          <w:szCs w:val="28"/>
        </w:rPr>
        <w:t>“Actualización de las sanciones pecuniarias”</w:t>
      </w:r>
      <w:r w:rsidRPr="002C26A9">
        <w:rPr>
          <w:bCs/>
          <w:szCs w:val="28"/>
        </w:rPr>
        <w:t xml:space="preserve"> -la tercera-, la posible </w:t>
      </w:r>
      <w:r w:rsidRPr="002C26A9">
        <w:rPr>
          <w:bCs/>
          <w:i/>
          <w:szCs w:val="28"/>
        </w:rPr>
        <w:t>“Extensión de derechos”</w:t>
      </w:r>
      <w:r w:rsidRPr="002C26A9">
        <w:rPr>
          <w:bCs/>
          <w:szCs w:val="28"/>
        </w:rPr>
        <w:t xml:space="preserve"> a otras clases de perros de asistencia -la cuarta-, varias previsiones de </w:t>
      </w:r>
      <w:r w:rsidRPr="002C26A9">
        <w:rPr>
          <w:bCs/>
          <w:i/>
          <w:szCs w:val="28"/>
        </w:rPr>
        <w:t>“Habilitación normativa”</w:t>
      </w:r>
      <w:r w:rsidRPr="002C26A9">
        <w:rPr>
          <w:bCs/>
          <w:szCs w:val="28"/>
        </w:rPr>
        <w:t xml:space="preserve"> al Consejo de Gobierno -la quinta- y la </w:t>
      </w:r>
      <w:r w:rsidRPr="002C26A9">
        <w:rPr>
          <w:bCs/>
          <w:i/>
          <w:szCs w:val="28"/>
        </w:rPr>
        <w:t>“Entrada en vigor”</w:t>
      </w:r>
      <w:r w:rsidRPr="002C26A9">
        <w:rPr>
          <w:bCs/>
          <w:szCs w:val="28"/>
        </w:rPr>
        <w:t xml:space="preserve"> de la ley.</w:t>
      </w:r>
    </w:p>
    <w:p w:rsidR="006A1E88" w:rsidRPr="002C26A9" w:rsidRDefault="006A1E88" w:rsidP="006A1E88">
      <w:pPr>
        <w:rPr>
          <w:szCs w:val="28"/>
        </w:rPr>
      </w:pPr>
      <w:r w:rsidRPr="002C26A9">
        <w:rPr>
          <w:szCs w:val="28"/>
        </w:rPr>
        <w:t>En tal estado de tramitación V. E. dispuso la remisión del expediente a este Consejo Consultivo, en el que tuvo entrada con fecha 3 de septiembre de 2018.</w:t>
      </w:r>
    </w:p>
    <w:p w:rsidR="006A1E88" w:rsidRPr="002C26A9" w:rsidRDefault="006A1E88" w:rsidP="006A1E88">
      <w:pPr>
        <w:pStyle w:val="alavista"/>
      </w:pPr>
      <w:r w:rsidRPr="002C26A9">
        <w:t>A la vista de dichos antecedentes, procede formular las siguientes</w:t>
      </w:r>
    </w:p>
    <w:p w:rsidR="006A1E88" w:rsidRPr="002C26A9" w:rsidRDefault="006A1E88" w:rsidP="006A1E88">
      <w:pPr>
        <w:pStyle w:val="Consideraciones"/>
      </w:pPr>
      <w:r w:rsidRPr="002C26A9">
        <w:t>CONSIDERACIONES</w:t>
      </w:r>
    </w:p>
    <w:p w:rsidR="006A1E88" w:rsidRPr="002C26A9" w:rsidRDefault="006A1E88" w:rsidP="006A1E88">
      <w:pPr>
        <w:pStyle w:val="Negcent"/>
      </w:pPr>
      <w:r w:rsidRPr="002C26A9">
        <w:t>I</w:t>
      </w:r>
    </w:p>
    <w:p w:rsidR="006A1E88" w:rsidRPr="002C26A9" w:rsidRDefault="006A1E88" w:rsidP="006A1E88">
      <w:r w:rsidRPr="002C26A9">
        <w:rPr>
          <w:b/>
          <w:bCs/>
        </w:rPr>
        <w:t>Carácter del dictamen.</w:t>
      </w:r>
      <w:r w:rsidRPr="002C26A9">
        <w:rPr>
          <w:b/>
        </w:rPr>
        <w:t>-</w:t>
      </w:r>
      <w:r w:rsidRPr="002C26A9">
        <w:t xml:space="preserve"> Se somete al Consejo Consultivo el anteproyecto de </w:t>
      </w:r>
      <w:r w:rsidR="00C61D05" w:rsidRPr="002C26A9">
        <w:rPr>
          <w:szCs w:val="28"/>
        </w:rPr>
        <w:t xml:space="preserve">Ley </w:t>
      </w:r>
      <w:r w:rsidRPr="002C26A9">
        <w:rPr>
          <w:szCs w:val="28"/>
        </w:rPr>
        <w:t xml:space="preserve">de </w:t>
      </w:r>
      <w:r w:rsidRPr="002C26A9">
        <w:t xml:space="preserve">acceso al entorno de las personas discapacitadas acompañadas de perros de asistencia, con invocación de lo dispuesto en el artículo 54 de la Ley 11/2003, de 25 de septiembre, del Gobierno y del Consejo Consultivo de Castilla-La Mancha, en cuyo apartado 3 se establece que este órgano deberá ser consultado </w:t>
      </w:r>
      <w:r w:rsidRPr="002C26A9">
        <w:rPr>
          <w:i/>
          <w:iCs/>
        </w:rPr>
        <w:t>“en los siguientes asuntos:</w:t>
      </w:r>
      <w:r w:rsidRPr="002C26A9">
        <w:t xml:space="preserve"> [   ] [...] </w:t>
      </w:r>
      <w:r w:rsidRPr="002C26A9">
        <w:br/>
      </w:r>
      <w:r w:rsidRPr="002C26A9">
        <w:rPr>
          <w:i/>
          <w:iCs/>
        </w:rPr>
        <w:t>3.- Anteproyectos de Ley”</w:t>
      </w:r>
      <w:r w:rsidRPr="002C26A9">
        <w:t>.</w:t>
      </w:r>
    </w:p>
    <w:p w:rsidR="006A1E88" w:rsidRPr="002C26A9" w:rsidRDefault="006A1E88" w:rsidP="006A1E88">
      <w:r w:rsidRPr="002C26A9">
        <w:t>De acuerdo con dicha disposición, procede emitir el presente dictamen con carácter preceptivo.</w:t>
      </w:r>
    </w:p>
    <w:p w:rsidR="006A1E88" w:rsidRPr="002C26A9" w:rsidRDefault="006A1E88" w:rsidP="006A1E88">
      <w:pPr>
        <w:pStyle w:val="Negcent"/>
      </w:pPr>
      <w:r w:rsidRPr="002C26A9">
        <w:lastRenderedPageBreak/>
        <w:t>II</w:t>
      </w:r>
    </w:p>
    <w:p w:rsidR="006A1E88" w:rsidRPr="002C26A9" w:rsidRDefault="006A1E88" w:rsidP="006A1E88">
      <w:r w:rsidRPr="002C26A9">
        <w:rPr>
          <w:b/>
          <w:bCs/>
        </w:rPr>
        <w:t>Procedimiento de elaboración del anteproyecto.-</w:t>
      </w:r>
      <w:r w:rsidRPr="002C26A9">
        <w:t xml:space="preserve"> El ejercicio de una iniciativa legislativa por parte del Gobierno de la Comunidad Autónoma se ha visto condicionado por la aplicabilidad temporal de las previsiones del </w:t>
      </w:r>
      <w:r w:rsidR="00C61D05" w:rsidRPr="002C26A9">
        <w:t xml:space="preserve">Título </w:t>
      </w:r>
      <w:r w:rsidRPr="002C26A9">
        <w:t>VI de la Ley 39/2015, de 1 de octubre, del Procedimiento Administrativo Común de las Administraciones Públicas, dictadas como normativa básica del Estado en uso de la competencia exclusiva enunciada en el artículo 149.1.18ª de la Constitución, el cual se ha visto profundamente afectado por la reciente Sentencia del Tribunal Constitucional nº 55/2018, de 24 de mayo. Especial incidencia presentaban las determinaciones del artículo 133 de dicho cuerpo legal, relativas a varios trámites de consulta,</w:t>
      </w:r>
      <w:r w:rsidR="00195B94" w:rsidRPr="002C26A9">
        <w:t xml:space="preserve"> </w:t>
      </w:r>
      <w:r w:rsidRPr="002C26A9">
        <w:t xml:space="preserve">audiencia e información públicas orientados a fomentar la </w:t>
      </w:r>
      <w:r w:rsidRPr="002C26A9">
        <w:rPr>
          <w:i/>
        </w:rPr>
        <w:t>“participación de los ciudadanos en el procedimiento de elaboración de normas con rango legal y reglamentos”</w:t>
      </w:r>
      <w:r w:rsidRPr="002C26A9">
        <w:t xml:space="preserve">, cuyo juicio de constitucionalidad ha sido abordado en el Fundamento Jurídico 7 de dicha Sentencia, propugnándose la inconstitucionalidad, la nulidad o un restringido modo de interpretación respecto de la mayor parte de su contenido. Ahora bien, sin perjuicio de la pervivencia de alguna medida aplicable a los procedimientos de elaboración de normas reglamentarias, en lo concerniente al desarrollo de iniciativas legislativas por parte de los gobiernos autonómicos, el Alto Tribunal ha negado tal posibilidad de regulación estatal, afirmando al respecto: </w:t>
      </w:r>
      <w:r w:rsidRPr="002C26A9">
        <w:rPr>
          <w:i/>
        </w:rPr>
        <w:t xml:space="preserve">“Los arts. 129 (salvo el apartado 4, párrafos segundo y tercero, cuya impugnación ya hemos examinado), 130, 132 y 133 de la Ley 39/2015 se refieren al ejercicio, por parte de los gobiernos nacional y autonómico, tanto de la potestad reglamentaria como de la iniciativa legislativa. Se aplican, por tanto, a las iniciativas de rango legal de las Comunidades Autónomas. Invaden por ello las competencias que estas tienen estatutariamente atribuidas en orden a organizarse y regular la elaboración de sus leyes. Procede, pues, estimar el recurso en este punto y declarar en consecuencia la invasión competencial que denuncia el Gobierno de Cataluña. </w:t>
      </w:r>
      <w:r w:rsidRPr="002C26A9">
        <w:t xml:space="preserve">[   ] </w:t>
      </w:r>
      <w:r w:rsidRPr="002C26A9">
        <w:rPr>
          <w:i/>
        </w:rPr>
        <w:t xml:space="preserve">Tal declaración, sin embargo, tampoco conlleva en este caso la nulidad de los arts. 129, 130, 132 y 133 de la Ley 39/2015. Según acabamos de ver, tales preceptos se refieren también a las iniciativas legislativas del Gobierno nacional, lo que no ha suscitado controversia alguna en este proceso. De modo que, para remediar la invasión </w:t>
      </w:r>
      <w:r w:rsidRPr="002C26A9">
        <w:rPr>
          <w:i/>
        </w:rPr>
        <w:lastRenderedPageBreak/>
        <w:t>competencial señalada, basta declarar que estos preceptos son contrarios al orden constitucional de competencias y que, en consecuencia, no son aplicables a las iniciativas legislativas de las Comunidades Autónomas (STC 50/1999, FFJJ 7 y 8)”</w:t>
      </w:r>
      <w:r w:rsidRPr="002C26A9">
        <w:t>.</w:t>
      </w:r>
    </w:p>
    <w:p w:rsidR="006A1E88" w:rsidRPr="002C26A9" w:rsidRDefault="006A1E88" w:rsidP="006A1E88">
      <w:r w:rsidRPr="002C26A9">
        <w:t xml:space="preserve">En virtud de lo anterior, procede reiterar que en el ámbito de esta Comunidad Autónoma y con carácter general la iniciativa legislativa del ejecutivo se encuentra regulada en el artículo 35 de la Ley 11/2003, de 25 de septiembre, del Gobierno y del Consejo Consultivo de Castilla-La Mancha, el cual dispone que </w:t>
      </w:r>
      <w:r w:rsidRPr="002C26A9">
        <w:rPr>
          <w:i/>
        </w:rPr>
        <w:t xml:space="preserve">“El Consejo de Gobierno ejerce la iniciativa legislativa mediante </w:t>
      </w:r>
      <w:r w:rsidR="00AC7C76" w:rsidRPr="002C26A9">
        <w:rPr>
          <w:i/>
        </w:rPr>
        <w:t>los</w:t>
      </w:r>
      <w:r w:rsidRPr="002C26A9">
        <w:rPr>
          <w:i/>
        </w:rPr>
        <w:t xml:space="preserve"> </w:t>
      </w:r>
      <w:r w:rsidR="00AC7C76" w:rsidRPr="002C26A9">
        <w:rPr>
          <w:i/>
        </w:rPr>
        <w:t>P</w:t>
      </w:r>
      <w:r w:rsidRPr="002C26A9">
        <w:rPr>
          <w:i/>
        </w:rPr>
        <w:t>royectos de Ley. Los textos que tengan tal objeto se elaboran y tramitan como Anteproyectos de Ley elevándose, junto con todas las actuaciones y antecedentes, a la consideración del Consejo de Gobierno”</w:t>
      </w:r>
      <w:r w:rsidRPr="002C26A9">
        <w:t xml:space="preserve">, quién asumida la iniciativa legislativa y a la vista del texto decide sobre ulteriores trámites y consultas y, cumplidos estos, acuerda su remisión al Consejo Consultivo de Castilla-La Mancha. Se aprecia así que la ley autonómica se decantó por la opción de no definir cuáles han de ser las </w:t>
      </w:r>
      <w:r w:rsidRPr="002C26A9">
        <w:rPr>
          <w:i/>
          <w:iCs/>
        </w:rPr>
        <w:t>“</w:t>
      </w:r>
      <w:r w:rsidRPr="002C26A9">
        <w:rPr>
          <w:i/>
        </w:rPr>
        <w:t>actuaciones</w:t>
      </w:r>
      <w:r w:rsidRPr="002C26A9">
        <w:rPr>
          <w:i/>
          <w:iCs/>
        </w:rPr>
        <w:t>”</w:t>
      </w:r>
      <w:r w:rsidRPr="002C26A9">
        <w:t xml:space="preserve"> y </w:t>
      </w:r>
      <w:r w:rsidRPr="002C26A9">
        <w:rPr>
          <w:i/>
          <w:iCs/>
        </w:rPr>
        <w:t>“</w:t>
      </w:r>
      <w:r w:rsidRPr="002C26A9">
        <w:rPr>
          <w:i/>
        </w:rPr>
        <w:t>antecedentes</w:t>
      </w:r>
      <w:r w:rsidRPr="002C26A9">
        <w:rPr>
          <w:i/>
          <w:iCs/>
        </w:rPr>
        <w:t>”</w:t>
      </w:r>
      <w:r w:rsidRPr="002C26A9">
        <w:t xml:space="preserve"> previos a la referida toma en consideración, ni fijar los </w:t>
      </w:r>
      <w:r w:rsidRPr="002C26A9">
        <w:rPr>
          <w:i/>
          <w:iCs/>
        </w:rPr>
        <w:t>“</w:t>
      </w:r>
      <w:r w:rsidRPr="002C26A9">
        <w:rPr>
          <w:i/>
        </w:rPr>
        <w:t>ulteriores trámites y consultas</w:t>
      </w:r>
      <w:r w:rsidRPr="002C26A9">
        <w:rPr>
          <w:i/>
          <w:iCs/>
        </w:rPr>
        <w:t>”</w:t>
      </w:r>
      <w:r w:rsidRPr="002C26A9">
        <w:t xml:space="preserve"> que sucedan a la misma, de lo que puede extraerse que, en cada caso, serán los que se hagan precisos y mejor se correspondan con el contenido de la concreta iniciativa que se promueva.</w:t>
      </w:r>
    </w:p>
    <w:p w:rsidR="006A1E88" w:rsidRPr="002C26A9" w:rsidRDefault="006A1E88" w:rsidP="006A1E88">
      <w:r w:rsidRPr="002C26A9">
        <w:t>Dicho lo anterior, aunque el examen de las actuaciones realizadas en el presente caso, ya descritas en los antecedentes, revela una general observancia de las reglas y criterios que resultan de aplicación, cabe formular la siguiente observación:</w:t>
      </w:r>
    </w:p>
    <w:p w:rsidR="006A1E88" w:rsidRPr="002C26A9" w:rsidRDefault="006A1E88" w:rsidP="006A1E88">
      <w:r w:rsidRPr="002C26A9">
        <w:t>Durante el proceso de elaboración de la norma fue recabado el informe de la Dirección General de Función Pública, emitido con fecha 12 de junio pasado, quien centró sus observaciones en el análisis del contenido de la disposición adicional cuarta, reguladora de la posible concesión de permisos retribuidos a empleados discapacitados para realizar cursos de formación en el uso de perros de asistencia.</w:t>
      </w:r>
    </w:p>
    <w:p w:rsidR="006A1E88" w:rsidRPr="002C26A9" w:rsidRDefault="006A1E88" w:rsidP="006A1E88">
      <w:r w:rsidRPr="002C26A9">
        <w:t xml:space="preserve">Como consecuencia de las observaciones plasmadas en el referido informe, la mencionada disposición adicional fue objeto de una modificación </w:t>
      </w:r>
      <w:r w:rsidRPr="002C26A9">
        <w:lastRenderedPageBreak/>
        <w:t xml:space="preserve">que ha provocado el efecto de circunscribir su ámbito de aplicación al colectivo conformado por </w:t>
      </w:r>
      <w:r w:rsidRPr="002C26A9">
        <w:rPr>
          <w:i/>
        </w:rPr>
        <w:t>“el personal funcionario de administración general y el personal docente no universitario de la Administración autonómica, así como el personal estatutario y funcionario de las instituciones sanitarias del Servicio de Salud de Castilla-La Mancha”</w:t>
      </w:r>
      <w:r w:rsidRPr="002C26A9">
        <w:t>. Con esta acotación vienen a soslayarse las objeciones formuladas por el órgano informante en relación con la improcedencia de regular materias concernientes a derechos y obligaciones del personal laboral, así como las atinentes al incumplimiento de las formalidades necesarias para poder extender los efectos del permiso al personal de las entidades locales de la Región, ya que ello requeriría, según el citado Director General de Función Pública, del sometimiento de la norma a la Comisión de Coordinación del Empleo Público de Castilla-La Mancha.</w:t>
      </w:r>
    </w:p>
    <w:p w:rsidR="006A1E88" w:rsidRPr="002C26A9" w:rsidRDefault="006A1E88" w:rsidP="006A1E88">
      <w:r w:rsidRPr="002C26A9">
        <w:t xml:space="preserve">Sin embargo, el citado informe también hacía mención a otra carencia de índole formal, atinente a eventuales deficiencias en materia de negociación colectiva, asociable a la falta de coincidencia entre la multiplicidad de clases de perros de asistencia contemplada en el artículo 4.1 del anteproyecto de </w:t>
      </w:r>
      <w:r w:rsidR="00C61D05" w:rsidRPr="002C26A9">
        <w:t xml:space="preserve">Ley </w:t>
      </w:r>
      <w:r w:rsidRPr="002C26A9">
        <w:t xml:space="preserve">-cinco- y la única modalidad prevista en el permiso retribuido equivalente ya recogido en el apartado 2.21 del II Plan para la conciliación de la vida personal, familiar y laboral publicado mediante Resolución de la Secretaría General de Hacienda y Administraciones Públicas de 19 de junio de 2018, publicada en el DOCM de 21 de junio posterior. La citada Resolución hace pública la ratificación por el Consejo de Gobierno del Acuerdo de 24 de mayo anterior de la Mesa General de Negociación de los Empleados Públicos del referido II Plan Concilia, en cuyo apartado 2.21, se incluye un permiso retribuido del que puede ser beneficiario </w:t>
      </w:r>
      <w:r w:rsidRPr="002C26A9">
        <w:rPr>
          <w:i/>
        </w:rPr>
        <w:t>“el personal empleado público que por razón de su discapacidad, para su auxilio y apoyo, precise de la utilización de un perro guía”</w:t>
      </w:r>
      <w:r w:rsidRPr="002C26A9">
        <w:t xml:space="preserve">. En el propio informe del Director General de Función pública se alerta sobre la disparidad de tipos de perro advertible entre ambas determinaciones, señalando a continuación que </w:t>
      </w:r>
      <w:r w:rsidRPr="002C26A9">
        <w:rPr>
          <w:i/>
        </w:rPr>
        <w:t xml:space="preserve">“no habría ningún inconveniente por parte de esta Dirección General para modificar el apartado 2.21 del II Plan Concilia para que este permiso coincida totalmente con el del anteproyecto de ley”. </w:t>
      </w:r>
      <w:r w:rsidRPr="002C26A9">
        <w:t xml:space="preserve">En cualquier caso, el informe concluye recordando la necesidad de que han ser objeto de negociación todas las </w:t>
      </w:r>
      <w:r w:rsidRPr="002C26A9">
        <w:lastRenderedPageBreak/>
        <w:t>normas referidas a permisos, por lo que el anteproyecto debería negociarse en la correspondiente mesa de negociación. Pese a dicha advertencia, no hay constancia en el expediente de que se haya adoptado medida complementaria alguna en orden a verificar el sometimiento a negociación colectiva del anteproyecto tramitado.</w:t>
      </w:r>
    </w:p>
    <w:p w:rsidR="006A1E88" w:rsidRPr="002C26A9" w:rsidRDefault="006A1E88" w:rsidP="006A1E88">
      <w:r w:rsidRPr="002C26A9">
        <w:t>Por consiguiente, estima este Consejo que, aunque la negociación ya desarrollada en el seno de la citada Mesa General de Negociación de los Empleados Públicos el 24 de mayo de 2018 dispensa cobertura a la regulación del permiso retribuido referido, esta solo alcanzaría a la modalidad correspondiente al uso de perros guía -artículo 4.1.a) del anteproyecto-. De tal modo, como la ausencia de negociación observada por la Dirección General de Función parece que no ha sido subsanada en relación con las restantes modalidades de perros de asistencia enumeradas en los epígrafes b) al e) del citado artículo 4.1, la tramitación de la norma legal proyectada presentaría una carencia formal por falta de negociación de algunas de sus determinaciones relativas a los derechos y obligaciones de los empleados públicos concernidos por el referido permiso retribuido.</w:t>
      </w:r>
    </w:p>
    <w:p w:rsidR="006A1E88" w:rsidRPr="002C26A9" w:rsidRDefault="006A1E88" w:rsidP="006A1E88">
      <w:r w:rsidRPr="002C26A9">
        <w:t xml:space="preserve">En estas circunstancias, procede recordar lo que este Consejo viene señalando respecto al alcance relativo de las carencias producidas en los procedimientos de elaboración de normas de rango legal, insistiendo en que, una vez que el Consejo de Gobierno ha tomado en consideración el texto redactado, con </w:t>
      </w:r>
      <w:r w:rsidRPr="002C26A9">
        <w:rPr>
          <w:i/>
        </w:rPr>
        <w:t xml:space="preserve">“apreciación de qué antecedentes o trámites concretos son precisos para la elaboración de una disposición de este rango, </w:t>
      </w:r>
      <w:r w:rsidRPr="002C26A9">
        <w:t>[…] [es a]</w:t>
      </w:r>
      <w:r w:rsidRPr="002C26A9">
        <w:rPr>
          <w:i/>
        </w:rPr>
        <w:t xml:space="preserve"> las Cortes Regionales, en última instancia, a quienes corresponde apreciar la suficiencia o carencia de los mismos”</w:t>
      </w:r>
      <w:r w:rsidRPr="002C26A9">
        <w:t xml:space="preserve"> -dictámenes 33/2010, de 17 de marzo, o 258/2016, de 19 de julio, entre otros muchos-.</w:t>
      </w:r>
    </w:p>
    <w:p w:rsidR="006A1E88" w:rsidRPr="002C26A9" w:rsidRDefault="006A1E88" w:rsidP="006A1E88">
      <w:r w:rsidRPr="002C26A9">
        <w:t>Por último, procede señalar que el expediente dispone de un índice numerado de los documentos que lo conforman, encontrándose cronológicamente ordenado y enteramente foliado, todo lo cual ha facilitado su examen y toma de conocimiento.</w:t>
      </w:r>
    </w:p>
    <w:p w:rsidR="00F92F18" w:rsidRPr="002C26A9" w:rsidRDefault="00F92F18" w:rsidP="006A1E88">
      <w:pPr>
        <w:pStyle w:val="Negcent"/>
      </w:pPr>
    </w:p>
    <w:p w:rsidR="006A1E88" w:rsidRPr="002C26A9" w:rsidRDefault="006A1E88" w:rsidP="006A1E88">
      <w:pPr>
        <w:pStyle w:val="Negcent"/>
      </w:pPr>
      <w:r w:rsidRPr="002C26A9">
        <w:lastRenderedPageBreak/>
        <w:t>III</w:t>
      </w:r>
    </w:p>
    <w:p w:rsidR="006A1E88" w:rsidRPr="002C26A9" w:rsidRDefault="006A1E88" w:rsidP="006A1E88">
      <w:pPr>
        <w:pStyle w:val="Negcent"/>
        <w:spacing w:before="120" w:after="120"/>
        <w:ind w:firstLine="851"/>
        <w:jc w:val="both"/>
        <w:rPr>
          <w:b w:val="0"/>
        </w:rPr>
      </w:pPr>
      <w:r w:rsidRPr="002C26A9">
        <w:t>Marco constitucional, estatutario y legal en que se inserta el anteproyecto de ley.-</w:t>
      </w:r>
      <w:r w:rsidRPr="002C26A9">
        <w:rPr>
          <w:b w:val="0"/>
        </w:rPr>
        <w:t xml:space="preserve"> </w:t>
      </w:r>
      <w:r w:rsidRPr="002C26A9">
        <w:rPr>
          <w:b w:val="0"/>
          <w:szCs w:val="28"/>
        </w:rPr>
        <w:t>Previamente</w:t>
      </w:r>
      <w:r w:rsidRPr="002C26A9">
        <w:rPr>
          <w:b w:val="0"/>
        </w:rPr>
        <w:t xml:space="preserve"> al examen del texto legal proyectado y sometido a dictamen, conviene identificar los principales elementos del marco normativo en el que se desenvuelve la competencia que faculta a la Junta de Comunidades para acometer la regulación objeto del mismo.</w:t>
      </w:r>
    </w:p>
    <w:p w:rsidR="006A1E88" w:rsidRPr="002C26A9" w:rsidRDefault="006A1E88" w:rsidP="006A1E88">
      <w:r w:rsidRPr="002C26A9">
        <w:t xml:space="preserve">Como la materia abordada por dicho anteproyecto de ley pretende dar regulación a una parcela específica que resulta claramente subsumible dentro del conjunto de </w:t>
      </w:r>
      <w:r w:rsidRPr="002C26A9">
        <w:rPr>
          <w:i/>
        </w:rPr>
        <w:t>“medidas de garantía de la accesibilidad universal”</w:t>
      </w:r>
      <w:r w:rsidRPr="002C26A9">
        <w:t xml:space="preserve"> de las personas discapacitadas, tratadas en el </w:t>
      </w:r>
      <w:r w:rsidR="00AC7C76" w:rsidRPr="002C26A9">
        <w:t>T</w:t>
      </w:r>
      <w:r w:rsidRPr="002C26A9">
        <w:t xml:space="preserve">ítulo III de la Ley 7/2014, de 13 de noviembre, de Garantía de los Derechos de las Personas con Discapacidad en Castilla-La mancha -así lo revela la inclusión en su capítulo II de la regulación de los </w:t>
      </w:r>
      <w:r w:rsidRPr="002C26A9">
        <w:rPr>
          <w:i/>
        </w:rPr>
        <w:t>“animales de apoyo”</w:t>
      </w:r>
      <w:r w:rsidRPr="002C26A9">
        <w:t xml:space="preserve"> (artículo 73)-, la descripción del marco normativo de aplicación puede iniciarse con una remisión general a lo expuesto en la consideración III del dictamen 253/2014, de 23 de julio, emitido por este Consejo con motivo de la tramitación del anteproyecto de aquella ley.</w:t>
      </w:r>
    </w:p>
    <w:p w:rsidR="006A1E88" w:rsidRPr="002C26A9" w:rsidRDefault="006A1E88" w:rsidP="006A1E88">
      <w:pPr>
        <w:rPr>
          <w:szCs w:val="28"/>
        </w:rPr>
      </w:pPr>
      <w:r w:rsidRPr="002C26A9">
        <w:rPr>
          <w:szCs w:val="28"/>
        </w:rPr>
        <w:t xml:space="preserve">En el dictamen citado se exponía en orden a la descripción del entorno normativo analizado, que dicha labor </w:t>
      </w:r>
      <w:r w:rsidRPr="002C26A9">
        <w:rPr>
          <w:i/>
          <w:szCs w:val="28"/>
        </w:rPr>
        <w:t>“</w:t>
      </w:r>
      <w:r w:rsidRPr="002C26A9">
        <w:rPr>
          <w:szCs w:val="28"/>
        </w:rPr>
        <w:t xml:space="preserve">[…] </w:t>
      </w:r>
      <w:r w:rsidRPr="002C26A9">
        <w:rPr>
          <w:i/>
          <w:szCs w:val="28"/>
        </w:rPr>
        <w:t>aconseja mencionar en primer lugar aquellos preceptos del texto constitucional donde se contienen determinaciones primordialmente orientadas hacia el colectivo de las personas que padecen discapacidad, haciendo una referencia singular a su artículo 49, donde se atribuye a los poderes públicos la misión de promover “u</w:t>
      </w:r>
      <w:r w:rsidRPr="002C26A9">
        <w:rPr>
          <w:i/>
          <w:iCs/>
          <w:szCs w:val="28"/>
        </w:rPr>
        <w:t>na política de previsión, tratamiento, rehabilitación e integración de los disminuidos físicos, sensoriales y psíquicos”, la cual debe ser puesta en relación con la encomienda general previamente enunciada en el artículo 9.2, donde también se impone a aquellos “promover las condiciones para que la libertad y la igualdad del individuo y de los grupos en que se integra sean reales y efectivas; remover los obstáculos que impidan o dificulten su plenitud y facilitar la participación de todos los ciudadanos en la vida política, económica, cultural y social”</w:t>
      </w:r>
      <w:r w:rsidRPr="002C26A9">
        <w:rPr>
          <w:i/>
          <w:szCs w:val="28"/>
        </w:rPr>
        <w:t xml:space="preserve">. </w:t>
      </w:r>
      <w:r w:rsidRPr="002C26A9">
        <w:rPr>
          <w:szCs w:val="28"/>
        </w:rPr>
        <w:t xml:space="preserve">[   ] </w:t>
      </w:r>
      <w:r w:rsidRPr="002C26A9">
        <w:rPr>
          <w:i/>
          <w:szCs w:val="28"/>
        </w:rPr>
        <w:t xml:space="preserve">En desarrollo de estos cometidos y con especial vinculación al ejercicio de la competencia estatal exclusiva contemplada en el artículo 149.1.1ª de la Constitución, sobre “regulación de las condiciones básicas que garanticen la igualdad de todos los españoles en </w:t>
      </w:r>
      <w:r w:rsidRPr="002C26A9">
        <w:rPr>
          <w:i/>
          <w:szCs w:val="28"/>
        </w:rPr>
        <w:lastRenderedPageBreak/>
        <w:t xml:space="preserve">el ejercicio de sus derechos”, el Estado ha ido aprobando sucesivas normas de rango legal comprensivas de medidas incardinables dentro del ámbito material de la respuesta al colectivo de ciudadanos afectados por circunstancias personales discapacitantes. </w:t>
      </w:r>
      <w:r w:rsidRPr="002C26A9">
        <w:rPr>
          <w:szCs w:val="28"/>
        </w:rPr>
        <w:t xml:space="preserve">[   ] </w:t>
      </w:r>
      <w:r w:rsidRPr="002C26A9">
        <w:rPr>
          <w:i/>
          <w:szCs w:val="28"/>
        </w:rPr>
        <w:t xml:space="preserve">De ello ofrece una amplia y variada muestra el contenido de la Ley 26/2011, de 1 de agosto, de adaptación normativa de la regulación española a la Convención Internacional sobre los Derechos de las Personas con Discapacidad de 13 de diciembre de 2006, que introdujo numerosas modificaciones en nuestro ordenamiento jurídico y, entre ellas, varias con incidencia en las tres normas legales preexistentes con mayor trascendencia en la materia: la Ley 13/1982, de 7 de abril, de integración social de los minusválidos; la Ley 51/2003, de 2 de diciembre, de igualdad de oportunidades, no discriminación y accesibilidad universal de las personas con discapacidad; y la Ley 49/2007, de 26 de diciembre, de infracciones y sanciones en materia de igualdad de oportunidades, no discriminación y accesibilidad universal de las personas con discapacidad. Asimismo, la disposición final segunda de dicha Ley 26/2011, de 1 de agosto, encomendó al Gobierno la elaboración de un texto refundido compilador, aclaratorio y armonizador de las tres normas legales previamente aludidas, el cual ha sido efectivamente redactado y aprobado como texto refundido de la Ley General de Derechos de las Personas con Discapacidad y de su Inclusión Social (TRLGDPD), mediante el Real Decreto Legislativo 1/2013, de 29 de noviembre, constituyendo esta disposición legal el principal referente normativo estatal para el anteproyecto de Ley sometido a dictamen. </w:t>
      </w:r>
      <w:r w:rsidRPr="002C26A9">
        <w:rPr>
          <w:szCs w:val="28"/>
        </w:rPr>
        <w:t xml:space="preserve">[   ] </w:t>
      </w:r>
      <w:r w:rsidRPr="002C26A9">
        <w:rPr>
          <w:i/>
          <w:szCs w:val="28"/>
        </w:rPr>
        <w:t xml:space="preserve">Conviene así hacer una somera referencia a la estructura del mencionado TRLGDPD, a fin de ilustrar sobre el conjunto de materias abordadas en el mismo y poder advertir su conexión con las incorporadas al anteproyecto de Ley autonómica en tramitación. El citado cuerpo legal, tras incluir un título preliminar donde se determina su objeto, varias definiciones, los principios inspiradores y su ámbito de aplicación, dedica su título I al tratamiento de los derechos y obligaciones de las personas con discapacidad, marcado por la primacía del derecho a la igualdad -artículo 7-, aludiendo posteriormente en sus sucesivos capítulos al “Sistema de prestaciones sociales y económicas” (I), el “derecho a la protección a la salud” (II), el concepto de “atención integral” (III), el “derecho a la educación” (IV), el “derecho a la vida independiente” (V) </w:t>
      </w:r>
      <w:r w:rsidRPr="002C26A9">
        <w:rPr>
          <w:szCs w:val="28"/>
        </w:rPr>
        <w:t xml:space="preserve">[que </w:t>
      </w:r>
      <w:r w:rsidRPr="002C26A9">
        <w:rPr>
          <w:szCs w:val="28"/>
        </w:rPr>
        <w:lastRenderedPageBreak/>
        <w:t>acomete la determinación de las condiciones básicas de accesibilidad y no discriminación garantizadoras de los mismos niveles de igualdad de oportunidades a todas las personas con discapacidad]</w:t>
      </w:r>
      <w:r w:rsidRPr="002C26A9">
        <w:rPr>
          <w:i/>
          <w:szCs w:val="28"/>
        </w:rPr>
        <w:t xml:space="preserve">, el “derecho al trabajo” (VI), el “derecho a la protección social” (VII), el “derecho a participar en los asuntos públicos” (VIII), y las “obligaciones de los poderes públicos” al respecto (IX). Seguidamente, su título II se ocupa de la regulación de la igualdad de oportunidades para las personas con discapacidad y su no discriminación, con específica mención al “derecho a la igualdad de oportunidades” (capítulo I), y a las “medidas de fomento y defensa” de dicho derecho (capítulo II). Por último, el texto legal referido incluye un tercer título, con contenidos de índole sancionadora </w:t>
      </w:r>
      <w:r w:rsidRPr="002C26A9">
        <w:rPr>
          <w:szCs w:val="28"/>
        </w:rPr>
        <w:t>[que serán objeto de especial estudio en la consideración IV] […]</w:t>
      </w:r>
      <w:r w:rsidRPr="002C26A9">
        <w:rPr>
          <w:i/>
          <w:szCs w:val="28"/>
        </w:rPr>
        <w:t>”</w:t>
      </w:r>
      <w:r w:rsidRPr="002C26A9">
        <w:rPr>
          <w:szCs w:val="28"/>
        </w:rPr>
        <w:t>.</w:t>
      </w:r>
    </w:p>
    <w:p w:rsidR="006A1E88" w:rsidRPr="002C26A9" w:rsidRDefault="006A1E88" w:rsidP="006A1E88">
      <w:r w:rsidRPr="002C26A9">
        <w:t xml:space="preserve">A lo expuesto en dicho dictamen cabe añadir aquí, por su más estrecha vinculación con la materia objeto de regulación, que en el ámbito específico de la accesibilidad a medios de transporte el Estado aprobó el Real Decreto 1544/2007, de 23 de noviembre -modificado parcialmente mediante Real Decreto 1276/2011, de 16 de septiembre-, como instrumento regulador de las condiciones básicas de accesibilidad y no discriminación para el acceso y utilización de los modos de transporte de personas con discapacidad, en la mayoría de cuyos anexos se incluyen determinaciones concretas sobre el acceso a medios de transporte acompañados con perros de asistencia, señalando su disposición final tercera, relativa al carácter de las condiciones establecidas en el propio Real Decreto, que </w:t>
      </w:r>
      <w:r w:rsidRPr="002C26A9">
        <w:rPr>
          <w:i/>
        </w:rPr>
        <w:t>“Dado el carácter de condiciones básicas de accesibilidad y no discriminación que tienen las contenidas en este Real Decreto, las Comunidades Autónomas y las administraciones locales podrán, en el ámbito de sus competencias, establecer las adicionales que estimen pertinentes en orden a favorecer dicha accesibilidad y no discriminación”</w:t>
      </w:r>
      <w:r w:rsidRPr="002C26A9">
        <w:t xml:space="preserve">. La disposición final octava de dicho Real Decreto puntualizó que su contenido normativo se dicta </w:t>
      </w:r>
      <w:r w:rsidRPr="002C26A9">
        <w:rPr>
          <w:i/>
        </w:rPr>
        <w:t>“al amparo de las competencias que el artículo 149.1.1ª, 20ª, 21ª y 24ª de la Constitución atribuye al Estado”</w:t>
      </w:r>
      <w:r w:rsidRPr="002C26A9">
        <w:t>.</w:t>
      </w:r>
    </w:p>
    <w:p w:rsidR="006A1E88" w:rsidRPr="002C26A9" w:rsidRDefault="006A1E88" w:rsidP="006A1E88">
      <w:r w:rsidRPr="002C26A9">
        <w:t xml:space="preserve">Pasando, seguidamente, al estudio del marco normativo autonómico con incidencia en la materia, debe comenzarse con una mención al título competencial en el que cabe encuadrar la iniciativa emprendida, así como </w:t>
      </w:r>
      <w:r w:rsidRPr="002C26A9">
        <w:lastRenderedPageBreak/>
        <w:t>aquellas otras medidas legales o reglamentarias encaminadas a la regulación y garantía del derecho de accesibilidad universal al entorno por parte de las personas afectadas de discapacidades, las cuales se asocian claramente con el ejercicio de la competencia enunciada en el artículo 31.1.20ª del Estatuto de Autonomía de Castilla-La Mancha, que otorga a la Junta de Comunidades de Castilla-La Mancha la competencia exclusiva en materia de asistencia social y servicios sociales, así como la específica de promoción y ayuda a las personas con discapacidad, lo que incluye la articulación de recursos de apoyo a sus necesidades.</w:t>
      </w:r>
    </w:p>
    <w:p w:rsidR="006A1E88" w:rsidRPr="002C26A9" w:rsidRDefault="006A1E88" w:rsidP="006A1E88">
      <w:r w:rsidRPr="002C26A9">
        <w:t xml:space="preserve">De otro lado, dentro del ámbito normativo regional cabe también hacer una breve mención a la regulación concerniente a las medidas favorecedores de la accesibilidad de las personas con discapacidad, cuyo principal referente legal en la Comunidad Autónoma se remonta a la Ley 1/1994, de 24 de mayo, de accesibilidad y eliminación de barreras arquitectónicas de Castilla-La Mancha. Asimismo, conviene señalar que esta norma legal fue posteriormente desarrollada mediante el Decreto 158/1997, de 2 de diciembre, que aprobó el Código de Accesibilidad a los Minusválidos, centrado en el tratamiento de la problemática generada por la superación de las barreras de diversa índole, y cuyo actual capítulo VI contiene las disposiciones relativas al </w:t>
      </w:r>
      <w:r w:rsidRPr="002C26A9">
        <w:rPr>
          <w:i/>
        </w:rPr>
        <w:t>“acceso al entorno de las personas con discapacidad visual acompañadas de perros-guía”</w:t>
      </w:r>
      <w:r w:rsidRPr="002C26A9">
        <w:t xml:space="preserve"> -artículos 41 al 45-.</w:t>
      </w:r>
    </w:p>
    <w:p w:rsidR="006A1E88" w:rsidRPr="002C26A9" w:rsidRDefault="006A1E88" w:rsidP="006A1E88">
      <w:r w:rsidRPr="002C26A9">
        <w:t xml:space="preserve">Por último, procede hacer una alusión a las previsiones de la ya citada Ley 7/2014, de 13 de noviembre, en cuyo </w:t>
      </w:r>
      <w:r w:rsidR="00AC7C76" w:rsidRPr="002C26A9">
        <w:t xml:space="preserve">Título </w:t>
      </w:r>
      <w:r w:rsidRPr="002C26A9">
        <w:t xml:space="preserve">III, </w:t>
      </w:r>
      <w:r w:rsidR="00AC7C76" w:rsidRPr="002C26A9">
        <w:t xml:space="preserve">Capítulo </w:t>
      </w:r>
      <w:r w:rsidRPr="002C26A9">
        <w:t xml:space="preserve">II, se incluye el artículo 73, que constituye hoy en día la única regulación legal autonómica concerniente a los llamados </w:t>
      </w:r>
      <w:r w:rsidRPr="002C26A9">
        <w:rPr>
          <w:i/>
        </w:rPr>
        <w:t>“animales de apoyo”</w:t>
      </w:r>
      <w:r w:rsidRPr="002C26A9">
        <w:t xml:space="preserve"> o asistencia. Dicho artículo establece al efecto: </w:t>
      </w:r>
      <w:r w:rsidRPr="002C26A9">
        <w:rPr>
          <w:i/>
        </w:rPr>
        <w:t xml:space="preserve">“1. Sin perjuicio de lo previsto en la normativa específica sobre accesibilidad y eliminación de barreras, las personas con discapacidad que vayan acompañadas de animales de apoyo gozarán plenamente del derecho de acceso a todos los espacios de uso público, sin que por esta causa puedan ver limitada su libertad de circulación y acceso. </w:t>
      </w:r>
      <w:r w:rsidRPr="002C26A9">
        <w:t xml:space="preserve">[   ] </w:t>
      </w:r>
      <w:r w:rsidRPr="002C26A9">
        <w:rPr>
          <w:i/>
        </w:rPr>
        <w:t xml:space="preserve">2. El acceso del animal de apoyo no supondrá para la persona con discapacidad ningún gasto adicional de carácter discriminatorio. </w:t>
      </w:r>
      <w:r w:rsidRPr="002C26A9">
        <w:t xml:space="preserve">[   ] </w:t>
      </w:r>
      <w:r w:rsidRPr="002C26A9">
        <w:rPr>
          <w:i/>
        </w:rPr>
        <w:t>3. Asimismo, los animales de apoyo podrán utilizarse en proyectos de intervención para la mejora de las condiciones de salud de la persona con discapacidad”</w:t>
      </w:r>
      <w:r w:rsidRPr="002C26A9">
        <w:t>.</w:t>
      </w:r>
    </w:p>
    <w:p w:rsidR="006A1E88" w:rsidRPr="002C26A9" w:rsidRDefault="006A1E88" w:rsidP="006A1E88">
      <w:pPr>
        <w:pStyle w:val="Negcent"/>
      </w:pPr>
      <w:r w:rsidRPr="002C26A9">
        <w:lastRenderedPageBreak/>
        <w:t>IV</w:t>
      </w:r>
    </w:p>
    <w:p w:rsidR="006A1E88" w:rsidRPr="002C26A9" w:rsidRDefault="006A1E88" w:rsidP="006A1E88">
      <w:pPr>
        <w:rPr>
          <w:szCs w:val="28"/>
        </w:rPr>
      </w:pPr>
      <w:r w:rsidRPr="002C26A9">
        <w:rPr>
          <w:b/>
        </w:rPr>
        <w:t>Observaciones de carácter esencial.-</w:t>
      </w:r>
      <w:r w:rsidRPr="002C26A9">
        <w:t xml:space="preserve"> Pasando al examen pormenorizado del anteproyecto legal sometido a dictamen, procede efectuar, en primer término, las siguientes observaciones, a las que debe conferirse carácter esencial, relativas</w:t>
      </w:r>
      <w:r w:rsidRPr="002C26A9">
        <w:rPr>
          <w:szCs w:val="28"/>
        </w:rPr>
        <w:t xml:space="preserve"> todas ellas a determinaciones atinentes al régimen sancionador definido en su </w:t>
      </w:r>
      <w:r w:rsidR="00AC7C76" w:rsidRPr="002C26A9">
        <w:rPr>
          <w:szCs w:val="28"/>
        </w:rPr>
        <w:t xml:space="preserve">Capítulo </w:t>
      </w:r>
      <w:r w:rsidRPr="002C26A9">
        <w:rPr>
          <w:szCs w:val="28"/>
        </w:rPr>
        <w:t>V -artículos 23 al 30-, cuyo contenido ya ha sido descrito en el antecedente decimonoveno.</w:t>
      </w:r>
    </w:p>
    <w:p w:rsidR="006A1E88" w:rsidRPr="002C26A9" w:rsidRDefault="006A1E88" w:rsidP="006A1E88">
      <w:r w:rsidRPr="002C26A9">
        <w:t xml:space="preserve">La problemática detectada en algunos de ellos viene dada por su falta de sintonía con las determinaciones del régimen sancionador configurado en el </w:t>
      </w:r>
      <w:r w:rsidR="00AC7C76" w:rsidRPr="002C26A9">
        <w:t xml:space="preserve">Título </w:t>
      </w:r>
      <w:r w:rsidRPr="002C26A9">
        <w:t xml:space="preserve">III del Real Decreto Legislativo 1/2013, de 29 de noviembre, aprobatorio del citado TRLGDPD, norma legal dictada por el Estado en uso de su </w:t>
      </w:r>
      <w:r w:rsidRPr="002C26A9">
        <w:rPr>
          <w:i/>
        </w:rPr>
        <w:t xml:space="preserve">“competencia exclusiva </w:t>
      </w:r>
      <w:r w:rsidRPr="002C26A9">
        <w:t xml:space="preserve">[…] </w:t>
      </w:r>
      <w:r w:rsidRPr="002C26A9">
        <w:rPr>
          <w:i/>
        </w:rPr>
        <w:t>para regular las condiciones básicas que garanticen la igualdad de todos los españoles en el ejercicio de los derechos y el cumplimiento de los deberes constitucionales, conforme al artículo 149.1.1.ª de la Constitución”</w:t>
      </w:r>
      <w:r w:rsidRPr="002C26A9">
        <w:t xml:space="preserve">, y cuyas previsiones han de ser atendidas, como tales, en cualquier regulación que aborde, como el anteproyecto de </w:t>
      </w:r>
      <w:r w:rsidR="00C61D05" w:rsidRPr="002C26A9">
        <w:t xml:space="preserve">Ley </w:t>
      </w:r>
      <w:r w:rsidRPr="002C26A9">
        <w:t xml:space="preserve">analizado, aspectos </w:t>
      </w:r>
      <w:proofErr w:type="spellStart"/>
      <w:r w:rsidRPr="002C26A9">
        <w:t>incardinables</w:t>
      </w:r>
      <w:proofErr w:type="spellEnd"/>
      <w:r w:rsidRPr="002C26A9">
        <w:t xml:space="preserve"> dentro de la normación del principio de accesibilidad universal de las personas discapacitadas y el ejercicio de los derechos consiguientes.</w:t>
      </w:r>
    </w:p>
    <w:p w:rsidR="006A1E88" w:rsidRPr="002C26A9" w:rsidRDefault="006A1E88" w:rsidP="006A1E88">
      <w:r w:rsidRPr="002C26A9">
        <w:t xml:space="preserve">De hecho, la aplicabilidad de las medidas de índole sancionadora previstas en dicho </w:t>
      </w:r>
      <w:r w:rsidR="00AC7C76" w:rsidRPr="002C26A9">
        <w:t xml:space="preserve">Título </w:t>
      </w:r>
      <w:r w:rsidRPr="002C26A9">
        <w:t xml:space="preserve">III del TRLGDPD se explica expresamente en la exposición de motivos de la Ley 49/2007, de 26 de diciembre -una de las tres refundidas por el citado Real Decreto Legislativo-, instauradora del régimen de infracciones y sanciones en materia de igualdad de oportunidades, no discriminación y accesibilidad universal de las personas con discapacidad, donde se razonaba al efecto: </w:t>
      </w:r>
      <w:r w:rsidRPr="002C26A9">
        <w:rPr>
          <w:i/>
        </w:rPr>
        <w:t xml:space="preserve">“En el ejercicio de esta competencia, la presente Ley articula precisamente ese equilibrio que exige el Texto Constitucional, conciliando el margen de regulación del Estado con los espacios competenciales previstos para las Comunidades Autónomas. Un equilibrio que necesariamente debe estar reforzado en el ámbito administrativo sancionador, materia de esta Ley, pues el propio Tribunal Constitucional ha declarado que «las Comunidades Autónomas pueden adoptar normas administrativas sancionadoras cuando, teniendo competencia sobre la </w:t>
      </w:r>
      <w:r w:rsidRPr="002C26A9">
        <w:rPr>
          <w:i/>
        </w:rPr>
        <w:lastRenderedPageBreak/>
        <w:t>materia sustantiva de que se trate, tales disposiciones se acomoden a las garantías constitucionales dispuestas en este ámbito del derecho sancionador (artículo 25.1 CE, básicamente), y no introduzcan divergencias irrazonables y desproporcionadas al fin perseguido respecto del régimen jurídico aplicable en otras partes del territorio (artículo 149.1.1ª)». De esta manera, con la presente Ley se trazan las condiciones básicas que orientan la tarea normativa del legislador autonómico, respetando los ámbitos de decisión propia que constitucionalmente le corresponden, asegurando la existencia de un cuadro normativo mínimo y común para todo el territorio”</w:t>
      </w:r>
      <w:r w:rsidRPr="002C26A9">
        <w:t>.</w:t>
      </w:r>
    </w:p>
    <w:p w:rsidR="006A1E88" w:rsidRPr="002C26A9" w:rsidRDefault="006A1E88" w:rsidP="006A1E88">
      <w:r w:rsidRPr="002C26A9">
        <w:t xml:space="preserve">En sintonía con dicha explicación, el </w:t>
      </w:r>
      <w:r w:rsidR="00AC7C76" w:rsidRPr="002C26A9">
        <w:t xml:space="preserve">Título </w:t>
      </w:r>
      <w:r w:rsidRPr="002C26A9">
        <w:t xml:space="preserve">III del citado TRLGDPD, incluye un </w:t>
      </w:r>
      <w:r w:rsidR="00AC7C76" w:rsidRPr="002C26A9">
        <w:t xml:space="preserve">Capítulo </w:t>
      </w:r>
      <w:r w:rsidRPr="002C26A9">
        <w:t xml:space="preserve">I donde se establece el </w:t>
      </w:r>
      <w:r w:rsidRPr="002C26A9">
        <w:rPr>
          <w:i/>
        </w:rPr>
        <w:t>“régimen común de infracciones y sanciones”</w:t>
      </w:r>
      <w:r w:rsidRPr="002C26A9">
        <w:t xml:space="preserve"> en materia de </w:t>
      </w:r>
      <w:r w:rsidRPr="002C26A9">
        <w:rPr>
          <w:i/>
        </w:rPr>
        <w:t>“igualdad de oportunidades, no discriminación y accesibilidad universal de las personas con discapacidad”</w:t>
      </w:r>
      <w:r w:rsidRPr="002C26A9">
        <w:t xml:space="preserve">, determinando al efecto su artículo 78: </w:t>
      </w:r>
      <w:r w:rsidRPr="002C26A9">
        <w:rPr>
          <w:i/>
        </w:rPr>
        <w:t xml:space="preserve">“Ámbito. </w:t>
      </w:r>
      <w:r w:rsidRPr="002C26A9">
        <w:t xml:space="preserve">[   ] </w:t>
      </w:r>
      <w:r w:rsidRPr="002C26A9">
        <w:rPr>
          <w:i/>
        </w:rPr>
        <w:t xml:space="preserve">El régimen de infracciones y sanciones que se establece en este título será común en todo el territorio del Estado y será objeto de tipificación por el legislador autonómico, sin perjuicio de aquellas otras infracciones y sanciones que pueda establecer en el ejercicio de sus competencias. </w:t>
      </w:r>
      <w:r w:rsidRPr="002C26A9">
        <w:t xml:space="preserve">[   ] </w:t>
      </w:r>
      <w:r w:rsidRPr="002C26A9">
        <w:rPr>
          <w:i/>
        </w:rPr>
        <w:t>Las comunidades autónomas establecerán un régimen de infracciones que garantice la plena protección de las personas con discapacidad, ajustándose a lo dispuesto en esta ley”</w:t>
      </w:r>
      <w:r w:rsidRPr="002C26A9">
        <w:t xml:space="preserve">. La necesidad de respetar esas determinaciones, en los términos concretos establecidos en los siguientes artículos </w:t>
      </w:r>
      <w:r w:rsidR="00AC7C76" w:rsidRPr="002C26A9">
        <w:t>d</w:t>
      </w:r>
      <w:r w:rsidRPr="002C26A9">
        <w:t xml:space="preserve">el referido </w:t>
      </w:r>
      <w:r w:rsidR="00AC7C76" w:rsidRPr="002C26A9">
        <w:t xml:space="preserve">Capítulo </w:t>
      </w:r>
      <w:r w:rsidRPr="002C26A9">
        <w:t xml:space="preserve">I -del 79 al 93-, se advierte por vía ejemplificadora al examinar el tratamiento dado a la cuestión en el </w:t>
      </w:r>
      <w:r w:rsidR="00AC7C76" w:rsidRPr="002C26A9">
        <w:t xml:space="preserve">Título </w:t>
      </w:r>
      <w:r w:rsidRPr="002C26A9">
        <w:t>VI -</w:t>
      </w:r>
      <w:r w:rsidRPr="002C26A9">
        <w:rPr>
          <w:i/>
        </w:rPr>
        <w:t>“Régimen Sancionador”</w:t>
      </w:r>
      <w:r w:rsidRPr="002C26A9">
        <w:t xml:space="preserve">- de la ya citada Ley 7/2014, de 13 de noviembre, de Garantía de los Derechos de las Personas con discapacidad en Castilla-La Mancha, cuyo artículo 84.1 hace una primera remisión en bloque a las previsiones de dicho </w:t>
      </w:r>
      <w:r w:rsidR="00AC7C76" w:rsidRPr="002C26A9">
        <w:t xml:space="preserve">Capítulo </w:t>
      </w:r>
      <w:r w:rsidRPr="002C26A9">
        <w:t xml:space="preserve">I del </w:t>
      </w:r>
      <w:r w:rsidR="00AC7C76" w:rsidRPr="002C26A9">
        <w:t xml:space="preserve">Título </w:t>
      </w:r>
      <w:r w:rsidRPr="002C26A9">
        <w:t>III del citado TRLGDPD.</w:t>
      </w:r>
    </w:p>
    <w:p w:rsidR="006A1E88" w:rsidRPr="002C26A9" w:rsidRDefault="006A1E88" w:rsidP="00FE0057">
      <w:r w:rsidRPr="002C26A9">
        <w:t xml:space="preserve">Atendiendo a todo lo expuesto previamente, a juicio de este Consejo la comparación de las determinaciones acogidas en el </w:t>
      </w:r>
      <w:r w:rsidR="00AC7C76" w:rsidRPr="002C26A9">
        <w:t xml:space="preserve">Capítulo </w:t>
      </w:r>
      <w:r w:rsidRPr="002C26A9">
        <w:t xml:space="preserve">V del anteproyecto de </w:t>
      </w:r>
      <w:r w:rsidR="00C61D05" w:rsidRPr="002C26A9">
        <w:t>Ley</w:t>
      </w:r>
      <w:r w:rsidRPr="002C26A9">
        <w:t xml:space="preserve">, relativo al denominado </w:t>
      </w:r>
      <w:r w:rsidRPr="002C26A9">
        <w:rPr>
          <w:i/>
        </w:rPr>
        <w:t>“Régimen sancionador”</w:t>
      </w:r>
      <w:r w:rsidRPr="002C26A9">
        <w:t>, con los condicionantes impuestos al efecto en la misma materia por la referida legislación básica estatal muestra la presencia de los siguientes puntos de discordancia que habría que conciliar:</w:t>
      </w:r>
    </w:p>
    <w:p w:rsidR="006A1E88" w:rsidRPr="002C26A9" w:rsidRDefault="006A1E88" w:rsidP="00FE0057">
      <w:r w:rsidRPr="002C26A9">
        <w:rPr>
          <w:b/>
        </w:rPr>
        <w:lastRenderedPageBreak/>
        <w:t>Artículo 26. Sanciones.-</w:t>
      </w:r>
      <w:r w:rsidR="00C61D05" w:rsidRPr="002C26A9">
        <w:rPr>
          <w:b/>
        </w:rPr>
        <w:t xml:space="preserve"> </w:t>
      </w:r>
      <w:r w:rsidRPr="002C26A9">
        <w:t>El apartado 1 de este artículo establece en su epígrafe a) los límites máximo y mínimo de las sanciones pecuniarias imponibles por razón de la comisión de infracciones leves, fijando como cuantía mínima la cifra de 150 euros. Sin embargo, en el artículo 83.1 del Real Decreto Legislativo 1/2013, de 29 de noviembre, se aborda esa misma cuestión situando en 301 euros el importe mínimo de las sanciones impuestas por infracciones leves. Se aprecia, de tal modo, que la suma mínima contemplada en el anteproyecto de ley no se acomoda a las previsiones del régimen común establecido por la normativa básica estatal de referencia.</w:t>
      </w:r>
    </w:p>
    <w:p w:rsidR="006A1E88" w:rsidRPr="002C26A9" w:rsidRDefault="006A1E88" w:rsidP="00FE0057">
      <w:r w:rsidRPr="002C26A9">
        <w:rPr>
          <w:b/>
        </w:rPr>
        <w:t>Artículo 27. Graduación de las sanciones.-</w:t>
      </w:r>
      <w:r w:rsidR="00C61D05" w:rsidRPr="002C26A9">
        <w:rPr>
          <w:b/>
        </w:rPr>
        <w:t xml:space="preserve"> </w:t>
      </w:r>
      <w:r w:rsidRPr="002C26A9">
        <w:t>El apartado 1 de este artículo enumera en sus ocho epígrafes diversas circunstancias susceptibles de ser tomadas en consideración en orden a la graduación de las sanciones que se impongan a los sujetos infractores, en términos que resultan básicamente compatibles con las previsiones del artículo 29.3 de la Ley 40/2015, de 1 de octubre, del Régimen Jurídico del Sector Público. Sin embargo, también aquí se obvia la incidencia de las imposiciones dimanantes de la operatividad del régimen sancionador común instaurado en el TRLGDPD, cuyo artículo 84.1 incluye un listado de circunstancias a ponderar en dicho proceso de graduación, algunas de las cuales se han eludido en el texto legal analizado.</w:t>
      </w:r>
    </w:p>
    <w:p w:rsidR="006A1E88" w:rsidRPr="002C26A9" w:rsidRDefault="006A1E88" w:rsidP="00FE0057">
      <w:r w:rsidRPr="002C26A9">
        <w:t xml:space="preserve">En particular, este Consejo echa en falta la mención a los criterios de graduación recogidos en los epígrafes c), e), f), g) y j) de dicho artículo y apartado, alusivos a los factores de </w:t>
      </w:r>
      <w:r w:rsidRPr="002C26A9">
        <w:rPr>
          <w:i/>
        </w:rPr>
        <w:t>“fraude o connivencia”</w:t>
      </w:r>
      <w:r w:rsidRPr="002C26A9">
        <w:t xml:space="preserve">, </w:t>
      </w:r>
      <w:r w:rsidRPr="002C26A9">
        <w:rPr>
          <w:i/>
        </w:rPr>
        <w:t>“cifra de negocios o ingresos de la empresa o entidad”</w:t>
      </w:r>
      <w:r w:rsidRPr="002C26A9">
        <w:t xml:space="preserve">, </w:t>
      </w:r>
      <w:r w:rsidRPr="002C26A9">
        <w:rPr>
          <w:i/>
        </w:rPr>
        <w:t>“número de personas afectadas”</w:t>
      </w:r>
      <w:r w:rsidRPr="002C26A9">
        <w:t xml:space="preserve">, </w:t>
      </w:r>
      <w:r w:rsidRPr="002C26A9">
        <w:rPr>
          <w:i/>
        </w:rPr>
        <w:t>“permanencia o transitoriedad de las repercusiones de la infracción”</w:t>
      </w:r>
      <w:r w:rsidRPr="002C26A9">
        <w:t xml:space="preserve"> y </w:t>
      </w:r>
      <w:r w:rsidRPr="002C26A9">
        <w:rPr>
          <w:i/>
        </w:rPr>
        <w:t>“el beneficio económico que se hubiera generado para la persona autora de la infracción”</w:t>
      </w:r>
      <w:r w:rsidRPr="002C26A9">
        <w:t>.</w:t>
      </w:r>
    </w:p>
    <w:p w:rsidR="006A1E88" w:rsidRPr="002C26A9" w:rsidRDefault="006A1E88" w:rsidP="00FE0057">
      <w:r w:rsidRPr="002C26A9">
        <w:rPr>
          <w:b/>
        </w:rPr>
        <w:t>Artículo 30. Prescripción de infracciones y sanciones.-</w:t>
      </w:r>
      <w:r w:rsidR="00C61D05" w:rsidRPr="002C26A9">
        <w:rPr>
          <w:b/>
        </w:rPr>
        <w:t xml:space="preserve"> </w:t>
      </w:r>
      <w:r w:rsidRPr="002C26A9">
        <w:t xml:space="preserve">Su comparación con los preceptos afines incluidos en los artículos 82 y 87 del referido TRLGDPD pone de manifiesto que los plazos contemplados a ambos efectos en los apartados 1 y 3 del citado artículo 30, fijados en 3 años, dos años y un año, no coinciden con los establecidos por el legislador estatal para </w:t>
      </w:r>
      <w:r w:rsidRPr="002C26A9">
        <w:lastRenderedPageBreak/>
        <w:t>el régimen sancionador común configurado en la materia: cinco años, cuatro años y un año.</w:t>
      </w:r>
    </w:p>
    <w:p w:rsidR="006A1E88" w:rsidRPr="002C26A9" w:rsidRDefault="006A1E88" w:rsidP="00FE0057">
      <w:r w:rsidRPr="002C26A9">
        <w:t xml:space="preserve">Asimismo, el apartado 3 debería ofrecer una redacción de mayor precisión conceptual sobre la cuestión que pretende regularse -la prescripción de las sanciones-, haciendo una alusión más atinada y rigurosa a </w:t>
      </w:r>
      <w:r w:rsidRPr="002C26A9">
        <w:rPr>
          <w:i/>
        </w:rPr>
        <w:t xml:space="preserve">“la facultad de la Administración autonómica para </w:t>
      </w:r>
      <w:r w:rsidRPr="002C26A9">
        <w:rPr>
          <w:i/>
          <w:u w:val="single"/>
        </w:rPr>
        <w:t>ejecutar</w:t>
      </w:r>
      <w:r w:rsidRPr="002C26A9">
        <w:rPr>
          <w:i/>
        </w:rPr>
        <w:t xml:space="preserve"> las sanciones </w:t>
      </w:r>
      <w:r w:rsidRPr="002C26A9">
        <w:rPr>
          <w:i/>
          <w:u w:val="single"/>
        </w:rPr>
        <w:t>impuestas</w:t>
      </w:r>
      <w:r w:rsidRPr="002C26A9">
        <w:rPr>
          <w:i/>
        </w:rPr>
        <w:t xml:space="preserve"> por la comisión de infracciones”</w:t>
      </w:r>
      <w:r w:rsidRPr="002C26A9">
        <w:t xml:space="preserve"> muy graves, graves o leves y sus correspondientes plazos de ejercicio; o bien adoptando una redacción similar a la del apartado 1, en la que podría señalarse, simplemente, que </w:t>
      </w:r>
      <w:r w:rsidRPr="002C26A9">
        <w:rPr>
          <w:i/>
        </w:rPr>
        <w:t xml:space="preserve">“las sanciones impuestas por faltas muy graves prescribirán a los </w:t>
      </w:r>
      <w:r w:rsidRPr="002C26A9">
        <w:t xml:space="preserve">[cinco] </w:t>
      </w:r>
      <w:r w:rsidRPr="002C26A9">
        <w:rPr>
          <w:i/>
        </w:rPr>
        <w:t xml:space="preserve">años, las impuestas por faltas graves a los </w:t>
      </w:r>
      <w:r w:rsidRPr="002C26A9">
        <w:t>[cuatro]</w:t>
      </w:r>
      <w:r w:rsidRPr="002C26A9">
        <w:rPr>
          <w:i/>
        </w:rPr>
        <w:t xml:space="preserve"> años y las impuestas por faltas leves al año”</w:t>
      </w:r>
      <w:r w:rsidRPr="002C26A9">
        <w:t xml:space="preserve"> -véase, como ejemplo, el artículo 30.1 de la Ley 40/2015, de 1 de octubre-.</w:t>
      </w:r>
    </w:p>
    <w:p w:rsidR="006A1E88" w:rsidRPr="002C26A9" w:rsidRDefault="006A1E88" w:rsidP="00FE0057">
      <w:r w:rsidRPr="002C26A9">
        <w:t>En consecuencia, a juicio de este Consejo, el contenido de los tres artículos previamente examinados debería modificarse a fin de procurar su plena adecuación a las previsiones conformadoras del régimen sancionador común establecido por medio del tan citado Real Decreto Legislativo 1/2013, de 29 de noviembre.</w:t>
      </w:r>
    </w:p>
    <w:p w:rsidR="006A1E88" w:rsidRPr="002C26A9" w:rsidRDefault="006A1E88" w:rsidP="006A1E88">
      <w:pPr>
        <w:pStyle w:val="Negcent"/>
      </w:pPr>
      <w:r w:rsidRPr="002C26A9">
        <w:t>V</w:t>
      </w:r>
    </w:p>
    <w:p w:rsidR="006A1E88" w:rsidRPr="002C26A9" w:rsidRDefault="006A1E88" w:rsidP="006A1E88">
      <w:r w:rsidRPr="002C26A9">
        <w:rPr>
          <w:b/>
        </w:rPr>
        <w:t>Otras observaciones de carácter no esencial.-</w:t>
      </w:r>
      <w:r w:rsidRPr="002C26A9">
        <w:t xml:space="preserve"> Ahondando en el estudio del texto legal proyectado, este también suscita la formulación de algunas otras observaciones desprovistas de carácter esencial, atinentes a cuestiones de orden conceptual, de técnica y sistemática normativa o simples extremos de redacción, cuya atención redundaría en beneficio de la calidad técnica de la norma.</w:t>
      </w:r>
    </w:p>
    <w:p w:rsidR="006A1E88" w:rsidRPr="002C26A9" w:rsidRDefault="006A1E88" w:rsidP="00FE0057">
      <w:r w:rsidRPr="002C26A9">
        <w:rPr>
          <w:b/>
        </w:rPr>
        <w:t xml:space="preserve">Artículo 2. Definiciones, epígrafe j): </w:t>
      </w:r>
      <w:r w:rsidRPr="002C26A9">
        <w:rPr>
          <w:b/>
          <w:i/>
        </w:rPr>
        <w:t>“Persona responsable del perro de asistencia”</w:t>
      </w:r>
      <w:r w:rsidRPr="002C26A9">
        <w:rPr>
          <w:b/>
        </w:rPr>
        <w:t>.-</w:t>
      </w:r>
      <w:r w:rsidR="00C61D05" w:rsidRPr="002C26A9">
        <w:rPr>
          <w:b/>
        </w:rPr>
        <w:t xml:space="preserve"> </w:t>
      </w:r>
      <w:r w:rsidRPr="002C26A9">
        <w:t xml:space="preserve">Mediante la definición mencionada pretende determinarse quiénes pueden ostentar la condición de responsables del perro de asistencia, contemplando dos posibilidades tratadas en puntos diferenciados: que lo sea el propietario del animal o que lo sea su usuario, esto </w:t>
      </w:r>
      <w:r w:rsidRPr="002C26A9">
        <w:lastRenderedPageBreak/>
        <w:t xml:space="preserve">último </w:t>
      </w:r>
      <w:r w:rsidRPr="002C26A9">
        <w:rPr>
          <w:i/>
        </w:rPr>
        <w:t>“a partir del momento en que reciban legalmente la cesión del animal”</w:t>
      </w:r>
      <w:r w:rsidRPr="002C26A9">
        <w:t>. Para ambos casos también se prevé la posibilidad de que tal responsabilidad recaiga sobre el padre, madre o tutor del propietario o usuario falto de capacidad. Sin embargo, a juicio de este Consejo procedería reconsiderar si resulta necesario hacer mención a dicha responsabilidad sustitutiva de los padres y tutores en el caso de los sujetos propietarios.</w:t>
      </w:r>
    </w:p>
    <w:p w:rsidR="006A1E88" w:rsidRPr="002C26A9" w:rsidRDefault="006A1E88" w:rsidP="00FE0057">
      <w:r w:rsidRPr="002C26A9">
        <w:t xml:space="preserve">El conjunto de las previsiones de la norma parece asentarse en un sistema de utilización de los animales en el que las personas o entidades adiestradoras son quienes ostentan la propiedad del perro -y la consiguiente responsabilidad- en un primer momento, si bien una vez concluido el entrenamiento del animal y el proceso de acoplamiento con el futuro usuario, la responsabilidad aludida pasa a este último merced a la suscripción del correspondiente contrato de cesión de uso, que no comporta la transmisión de su propiedad. Así lo denotan, por ejemplo, la propia definición del </w:t>
      </w:r>
      <w:r w:rsidRPr="002C26A9">
        <w:rPr>
          <w:i/>
        </w:rPr>
        <w:t>“contrato de cesión del perro de asistencia”</w:t>
      </w:r>
      <w:r w:rsidRPr="002C26A9">
        <w:t xml:space="preserve"> incluida en el epígrafe b) del mismo artículo 2, o las previsiones atinentes a la obligación de suscribir una póliza de seguro acogidas en los apartados 1.f) y 2 del artículo 12.</w:t>
      </w:r>
    </w:p>
    <w:p w:rsidR="006A1E88" w:rsidRPr="002C26A9" w:rsidRDefault="006A1E88" w:rsidP="00FE0057">
      <w:r w:rsidRPr="002C26A9">
        <w:t xml:space="preserve">De tal modo, a juicio de este Consejo, no parece necesario hacer mención a los padres o tutores del propietario del animal -como hipótesis subsidiaria en ciertos supuestos de falta de capacidad legal-, cuando lo que se está tratando es la responsabilidad del propietario no usuario del animal, ya que dicha propiedad parece que ha de pertenecer a las personas o entidades adiestradores de los mismos en la etapa formativa previa a su cesión contractual en favor de un usuario. La previsión cuestionada solo tendría sentido si con ella quisieran contemplarse supuestos excepcionales en que la propiedad del futuro perro de asistencia perteneciese ya al usuario antes de someter al animal al correspondiente proceso </w:t>
      </w:r>
      <w:r w:rsidR="00AC7C76" w:rsidRPr="002C26A9">
        <w:t xml:space="preserve">de </w:t>
      </w:r>
      <w:r w:rsidRPr="002C26A9">
        <w:t>entrenamiento -sin mediar en ese caso ningún contrato de cesión-, momento en el que sería discutible que aquel mereciera la consideración de perro de asistencia.</w:t>
      </w:r>
    </w:p>
    <w:p w:rsidR="006A1E88" w:rsidRPr="002C26A9" w:rsidRDefault="006A1E88" w:rsidP="00FE0057">
      <w:r w:rsidRPr="002C26A9">
        <w:t>En consecuencia, se sugiere reconsiderar el contenido del citado epígrafe a fin de clarificar la finalidad del precepto, en su más adecuada correspondencia con el resto de previsiones de la norma.</w:t>
      </w:r>
    </w:p>
    <w:p w:rsidR="006A1E88" w:rsidRPr="002C26A9" w:rsidRDefault="006A1E88" w:rsidP="00FE0057">
      <w:r w:rsidRPr="002C26A9">
        <w:rPr>
          <w:b/>
        </w:rPr>
        <w:lastRenderedPageBreak/>
        <w:t>Artículo 6. Lugares y espacios públicos o de uso público a los que se extiende el derecho de acceso al entorno.-</w:t>
      </w:r>
      <w:r w:rsidR="00C61D05" w:rsidRPr="002C26A9">
        <w:t xml:space="preserve"> </w:t>
      </w:r>
      <w:r w:rsidRPr="002C26A9">
        <w:t xml:space="preserve">El citado artículo contiene una extensa relación de lugares y espacios en los que se reconoce el derecho de acceso al entorno acompañados de los denominados perros de asistencia enumerados en el artículo 4.1 de la propia ley. Dicha relación exhaustiva hace mención casi en exclusiva a espacios y lugares desprovistos de movilidad. Ahora bien, como única excepción, el apartado 1.c).8º hace referencia a </w:t>
      </w:r>
      <w:r w:rsidRPr="002C26A9">
        <w:rPr>
          <w:i/>
        </w:rPr>
        <w:t>“Cualquier transporte público de personas, urbano o interurbano, tanto de uso general como de uso especial, que se desarrolle íntegramente en la región; así como los servicios de transporte en vehículos de turismo, que sean competencia de las administraciones públicas de la región”</w:t>
      </w:r>
      <w:r w:rsidRPr="002C26A9">
        <w:t>.</w:t>
      </w:r>
    </w:p>
    <w:p w:rsidR="006A1E88" w:rsidRPr="002C26A9" w:rsidRDefault="006A1E88" w:rsidP="00FE0057">
      <w:r w:rsidRPr="002C26A9">
        <w:t xml:space="preserve">El anteproyecto incluye a continuación un artículo -el 7- que se dedica a la regulación del </w:t>
      </w:r>
      <w:r w:rsidRPr="002C26A9">
        <w:rPr>
          <w:i/>
        </w:rPr>
        <w:t>“ejercicio del derecho de acceso en los transportes públicos y privados”</w:t>
      </w:r>
      <w:r w:rsidRPr="002C26A9">
        <w:t>, tratando en él diversas cuestiones relativas al modo de uso de medios de transporte con acompañamiento de perros de asistencia. En consecuencia, a juicio de este Consejo, razones de sistemática normativa aconsejarían llevar al artículo 7 la mención al derecho de acceso a medios de transporte insertada en el artículo 6.1.c).8º, como primer apartado del mismo, con lo que se permitiría una mejor localización del precepto y una visión integral de las determinaciones concernientes al derecho de acceso a medios de transporte y su modo de ejercicio.</w:t>
      </w:r>
    </w:p>
    <w:p w:rsidR="006A1E88" w:rsidRPr="002C26A9" w:rsidRDefault="006A1E88" w:rsidP="00FE0057">
      <w:r w:rsidRPr="002C26A9">
        <w:t>En caso de atenderse a esta sugerencia, habrían de ponderarse sus repercusiones sobre el contenido de los artículos 25.3.a) y 25.4.a), en los que también debería hacerse alusión expresa al artículo 7.</w:t>
      </w:r>
    </w:p>
    <w:p w:rsidR="006A1E88" w:rsidRPr="002C26A9" w:rsidRDefault="006A1E88" w:rsidP="00FE0057">
      <w:r w:rsidRPr="002C26A9">
        <w:rPr>
          <w:b/>
        </w:rPr>
        <w:t>Artículo 9. Derecho de acceso a lugares y espacios privados de uso colectivo.-</w:t>
      </w:r>
      <w:r w:rsidR="00C61D05" w:rsidRPr="002C26A9">
        <w:rPr>
          <w:b/>
        </w:rPr>
        <w:t xml:space="preserve"> </w:t>
      </w:r>
      <w:r w:rsidRPr="002C26A9">
        <w:t xml:space="preserve">Por las mismas razones de sistemática normativa aducidas en sustento de la recomendación formulada en el apartado anterior, convendría trasladar al artículo 7 la previsión contenida en el apartado 2.d) de este artículo 9, toda vez que versa igualmente sobre una particularidad concerniente al ejercicio del derecho de acceso a medios de transporte, en este caso los contratados por </w:t>
      </w:r>
      <w:r w:rsidRPr="002C26A9">
        <w:rPr>
          <w:i/>
        </w:rPr>
        <w:t>“cualquier entidad, grupo o colectivo al que pertenezca la persona usuaria”</w:t>
      </w:r>
      <w:r w:rsidRPr="002C26A9">
        <w:t xml:space="preserve"> del perro de asistencia.</w:t>
      </w:r>
    </w:p>
    <w:p w:rsidR="006A1E88" w:rsidRPr="002C26A9" w:rsidRDefault="006A1E88" w:rsidP="00FE0057">
      <w:r w:rsidRPr="002C26A9">
        <w:lastRenderedPageBreak/>
        <w:t>Como en el caso anterior, de aceptarse la sugerencia, debería asegurarse el adecuado engranaje de este precepto con la relación de tipos infractores enumerados en el artículo 25.</w:t>
      </w:r>
    </w:p>
    <w:p w:rsidR="006A1E88" w:rsidRPr="002C26A9" w:rsidRDefault="006A1E88" w:rsidP="00FE0057">
      <w:r w:rsidRPr="002C26A9">
        <w:rPr>
          <w:b/>
        </w:rPr>
        <w:t>Artículo 12. Obligaciones.-</w:t>
      </w:r>
      <w:r w:rsidR="00C61D05" w:rsidRPr="002C26A9">
        <w:rPr>
          <w:b/>
        </w:rPr>
        <w:t xml:space="preserve"> </w:t>
      </w:r>
      <w:r w:rsidRPr="002C26A9">
        <w:t>El artículo referido incluye en dos de sus apartados sendos mandatos de aseguramiento que pueden recaer sobre el usuario o el propietario del animal de asistencia.</w:t>
      </w:r>
    </w:p>
    <w:p w:rsidR="006A1E88" w:rsidRPr="002C26A9" w:rsidRDefault="006A1E88" w:rsidP="00FE0057">
      <w:r w:rsidRPr="002C26A9">
        <w:t xml:space="preserve">Así, primeramente, el apartado 1.f) impone a los usuarios de los perros el deber de </w:t>
      </w:r>
      <w:r w:rsidRPr="002C26A9">
        <w:rPr>
          <w:i/>
        </w:rPr>
        <w:t>“Mantener suscrita una póliza de responsabilidad civil que cubra los eventuales daños a terceros ocasionados por el perro de asistencia</w:t>
      </w:r>
      <w:r w:rsidRPr="002C26A9">
        <w:t xml:space="preserve"> […]</w:t>
      </w:r>
      <w:r w:rsidRPr="002C26A9">
        <w:rPr>
          <w:i/>
        </w:rPr>
        <w:t>”</w:t>
      </w:r>
      <w:r w:rsidRPr="002C26A9">
        <w:t xml:space="preserve">. Posteriormente, como singularidad aplicable a los propietarios no usuarios </w:t>
      </w:r>
      <w:r w:rsidR="00FE0057" w:rsidRPr="002C26A9">
        <w:br/>
      </w:r>
      <w:r w:rsidRPr="002C26A9">
        <w:t xml:space="preserve">-es decir, en apariencia, las personas y entidades adiestradoras-, se establece en el apartado 2: </w:t>
      </w:r>
      <w:r w:rsidRPr="002C26A9">
        <w:rPr>
          <w:i/>
        </w:rPr>
        <w:t>“La persona propietaria del perro de asistencia debe cumplir las obligaciones del apartado 1, párrafos a) y f), en relación con los perros de los que sea titular, mientras se encuentren en su posesión”</w:t>
      </w:r>
      <w:r w:rsidRPr="002C26A9">
        <w:t xml:space="preserve">, añadiéndose seguidamente: </w:t>
      </w:r>
      <w:r w:rsidRPr="002C26A9">
        <w:rPr>
          <w:i/>
        </w:rPr>
        <w:t>“No obstante, mientras sea operativa para el perro de asistencia la cobertura de la póliza de seguro suscrita por la persona propietaria, no es necesario que la persona usuaria suscriba una nueva póliza”</w:t>
      </w:r>
      <w:r w:rsidRPr="002C26A9">
        <w:t>.</w:t>
      </w:r>
    </w:p>
    <w:p w:rsidR="006A1E88" w:rsidRPr="002C26A9" w:rsidRDefault="006A1E88" w:rsidP="00FE0057">
      <w:r w:rsidRPr="002C26A9">
        <w:t>La puesta en común de ambos preceptos hace aconsejable, atendiendo a razones de mera lógica compositiva, que el inciso final del apartado 2 sea trasladado al apartado 1.f), ya que la circunstancia obstativa que en aquel se contempla solo tiene un enlace lingüístico apropiado si se sitúa a continuación de la regla general que quiere atemperarse mediante la habilitación de una vía alternativa de cumplimiento.</w:t>
      </w:r>
    </w:p>
    <w:p w:rsidR="006A1E88" w:rsidRPr="002C26A9" w:rsidRDefault="006A1E88" w:rsidP="00FE0057">
      <w:r w:rsidRPr="002C26A9">
        <w:rPr>
          <w:b/>
        </w:rPr>
        <w:t>Artículo 17. Suspensión de la condición de perro de asistencia.-</w:t>
      </w:r>
      <w:r w:rsidRPr="002C26A9">
        <w:t xml:space="preserve"> </w:t>
      </w:r>
      <w:r w:rsidR="003D69D7" w:rsidRPr="002C26A9">
        <w:br/>
      </w:r>
      <w:r w:rsidRPr="002C26A9">
        <w:t xml:space="preserve">a) El apartado 1.c) contempla tal posibilidad de suspensión asociada al hecho de que </w:t>
      </w:r>
      <w:r w:rsidRPr="002C26A9">
        <w:rPr>
          <w:i/>
        </w:rPr>
        <w:t>“la persona usuaria no tiene suscrita una póliza de seguro de responsabilidad civil del perro de asistencia</w:t>
      </w:r>
      <w:r w:rsidRPr="002C26A9">
        <w:t xml:space="preserve"> […]</w:t>
      </w:r>
      <w:r w:rsidRPr="002C26A9">
        <w:rPr>
          <w:i/>
        </w:rPr>
        <w:t>”</w:t>
      </w:r>
      <w:r w:rsidRPr="002C26A9">
        <w:t>.</w:t>
      </w:r>
    </w:p>
    <w:p w:rsidR="006A1E88" w:rsidRPr="002C26A9" w:rsidRDefault="006A1E88" w:rsidP="00FE0057">
      <w:r w:rsidRPr="002C26A9">
        <w:t xml:space="preserve">Sin embargo, la puesta en relación de este precepto con la posibilidad de disfrutar de la cobertura temporal otorgada por el contrato de seguro previamente suscrito por el propietario del animal -que ha sido comentada en </w:t>
      </w:r>
      <w:r w:rsidRPr="002C26A9">
        <w:lastRenderedPageBreak/>
        <w:t>el apartado precedente-, haría aconsejable reformular el texto examinado, haciendo mención, de forma más genérica, a la no disposición de la cobertura de una póliza de seguro de responsabilidad civil para el perro de asistencia.</w:t>
      </w:r>
    </w:p>
    <w:p w:rsidR="006A1E88" w:rsidRPr="002C26A9" w:rsidRDefault="006A1E88" w:rsidP="00FE0057">
      <w:r w:rsidRPr="002C26A9">
        <w:t xml:space="preserve">b) De otro lado, en el último párrafo del apartado 3 de dicho artículo 17 se dice que la resolución que </w:t>
      </w:r>
      <w:r w:rsidRPr="002C26A9">
        <w:rPr>
          <w:i/>
        </w:rPr>
        <w:t>“deje sin efecto”</w:t>
      </w:r>
      <w:r w:rsidRPr="002C26A9">
        <w:t xml:space="preserve"> la suspensión temporal de la condición de perro de asistencia </w:t>
      </w:r>
      <w:r w:rsidRPr="002C26A9">
        <w:rPr>
          <w:i/>
        </w:rPr>
        <w:t>“</w:t>
      </w:r>
      <w:r w:rsidRPr="002C26A9">
        <w:t xml:space="preserve">[…] </w:t>
      </w:r>
      <w:r w:rsidRPr="002C26A9">
        <w:rPr>
          <w:i/>
        </w:rPr>
        <w:t>se anotará en el Registro de Unidades de Vinculación”</w:t>
      </w:r>
      <w:r w:rsidRPr="002C26A9">
        <w:t>. Sin embargo, cuando en los artículos 19.3 y 20.2.d) se trata de los efectos de las resoluciones de suspensión y pérdida de dicha condición y su anotación en el citado Registro de Unidades de Vinculación no se hace referencia alguna a los posibles acuerdos de levantamiento de suspensión tratados en el citado artículo 17.3. Por ello, se sugiere reconsiderar la regulación dada a la materia para hacer plenamente coherentes las determinaciones atinentes a dichas decisiones de levantamiento de suspensión en los tres artículos -17, 19 y 20- previamente aludidos.</w:t>
      </w:r>
    </w:p>
    <w:p w:rsidR="006A1E88" w:rsidRPr="002C26A9" w:rsidRDefault="006A1E88" w:rsidP="00FE0057">
      <w:r w:rsidRPr="002C26A9">
        <w:rPr>
          <w:b/>
        </w:rPr>
        <w:t>Artículo 25. Clasificación de las infracciones.-</w:t>
      </w:r>
      <w:r w:rsidR="00C61D05" w:rsidRPr="002C26A9">
        <w:t xml:space="preserve"> </w:t>
      </w:r>
      <w:r w:rsidRPr="002C26A9">
        <w:t xml:space="preserve">a) El referido artículo tipifica en su apartado 2.b), como conducta infractora de carácter leve, </w:t>
      </w:r>
      <w:r w:rsidRPr="002C26A9">
        <w:rPr>
          <w:i/>
        </w:rPr>
        <w:t>“la exigencia de abono de cantidades por el acceso de los perros de asistencia en los términos establecidos en esta ley”</w:t>
      </w:r>
      <w:r w:rsidRPr="002C26A9">
        <w:t>.</w:t>
      </w:r>
    </w:p>
    <w:p w:rsidR="006A1E88" w:rsidRPr="002C26A9" w:rsidRDefault="006A1E88" w:rsidP="00FE0057">
      <w:r w:rsidRPr="002C26A9">
        <w:t xml:space="preserve">Ciertamente que tal exigencia de abono de cantidades está proscrita por las determinaciones del articulado de la ley, estableciendo su artículo 7.3, sobre el uso de medios de transporte, que </w:t>
      </w:r>
      <w:r w:rsidRPr="002C26A9">
        <w:rPr>
          <w:i/>
        </w:rPr>
        <w:t>“En ningún caso se podrá exigir a la persona usuaria el abono de un billete o cantidad adicional por el acceso a un medio de transporte público o de uso público con su perro de asistencia”.</w:t>
      </w:r>
      <w:r w:rsidRPr="002C26A9">
        <w:t xml:space="preserve"> Ahora bien, de otro lado, el artículo 5.5 también establece con carácter más general, pero matizado, que el ejercicio del derecho de acceso regulado en la ley </w:t>
      </w:r>
      <w:r w:rsidRPr="002C26A9">
        <w:rPr>
          <w:i/>
        </w:rPr>
        <w:t xml:space="preserve">“no puede condicionarse al otorgamiento de ningún tipo de garantía </w:t>
      </w:r>
      <w:r w:rsidRPr="002C26A9">
        <w:t>[…]</w:t>
      </w:r>
      <w:r w:rsidRPr="002C26A9">
        <w:rPr>
          <w:i/>
        </w:rPr>
        <w:t>”</w:t>
      </w:r>
      <w:r w:rsidRPr="002C26A9">
        <w:t xml:space="preserve"> y que </w:t>
      </w:r>
      <w:r w:rsidRPr="002C26A9">
        <w:rPr>
          <w:i/>
        </w:rPr>
        <w:t>“tampoco puede exigirse a la persona usuaria el abono de cantidades por el acceso con el perro de asistencia, salvo que se trate de gastos en concepto de contraprestación de un servicio específico, económicamente evaluable y aplicable al público general”</w:t>
      </w:r>
      <w:r w:rsidRPr="002C26A9">
        <w:t>. Es así que la comentada gratuidad de acceso está claramente proclamada y definida en el articulado de la ley, en los términos previamente señalados.</w:t>
      </w:r>
    </w:p>
    <w:p w:rsidR="006A1E88" w:rsidRPr="002C26A9" w:rsidRDefault="006A1E88" w:rsidP="00FE0057">
      <w:r w:rsidRPr="002C26A9">
        <w:lastRenderedPageBreak/>
        <w:t xml:space="preserve">Por ello, la definición del tipo infractor estudiado, como conducta punible y susceptible de sanción, debería hacer mención, con mayor rigor semántico, a </w:t>
      </w:r>
      <w:r w:rsidRPr="002C26A9">
        <w:rPr>
          <w:i/>
        </w:rPr>
        <w:t xml:space="preserve">“la exigencia de abono de cantidades por el acceso de los perros de asistencia en </w:t>
      </w:r>
      <w:r w:rsidRPr="002C26A9">
        <w:t xml:space="preserve">[contra de] </w:t>
      </w:r>
      <w:r w:rsidRPr="002C26A9">
        <w:rPr>
          <w:i/>
        </w:rPr>
        <w:t>los términos establecidos en esta ley”</w:t>
      </w:r>
      <w:r w:rsidRPr="002C26A9">
        <w:t>, pues, en puridad, la observancia de la ley en sus propios términos, que es lo que literalmente dice el precepto, no puede ser reputada como una conducta infractora.</w:t>
      </w:r>
    </w:p>
    <w:p w:rsidR="006A1E88" w:rsidRPr="002C26A9" w:rsidRDefault="006A1E88" w:rsidP="00FE0057">
      <w:r w:rsidRPr="002C26A9">
        <w:t xml:space="preserve">b) Asimismo, como el apartado 3.c) define como infracción grave </w:t>
      </w:r>
      <w:r w:rsidRPr="002C26A9">
        <w:rPr>
          <w:i/>
        </w:rPr>
        <w:t xml:space="preserve">“Cobrar gastos adicionales </w:t>
      </w:r>
      <w:r w:rsidRPr="002C26A9">
        <w:t xml:space="preserve">[…] </w:t>
      </w:r>
      <w:r w:rsidRPr="002C26A9">
        <w:rPr>
          <w:i/>
        </w:rPr>
        <w:t>para permitirle el acceso acompañada del perro de asistencia”</w:t>
      </w:r>
      <w:r w:rsidRPr="002C26A9">
        <w:t>, razones de seguridad jurídica harían aconsejable añadir las matizaciones que se estimen oportunas con el fin de que esa otra conducta punible sea claramente disociable del tipo infractor analizado previamente, de menor gravedad, definido en el apartado 2.b) del propio artículo.</w:t>
      </w:r>
    </w:p>
    <w:p w:rsidR="006A1E88" w:rsidRPr="002C26A9" w:rsidRDefault="006A1E88" w:rsidP="00FE0057">
      <w:r w:rsidRPr="002C26A9">
        <w:t xml:space="preserve">c) De otro lado, los apartados 3.f) y 4.f) tipifican como infracciones graves y muy graves, respectivamente, </w:t>
      </w:r>
      <w:r w:rsidRPr="002C26A9">
        <w:rPr>
          <w:i/>
        </w:rPr>
        <w:t>“la comisión de tres faltas leves en el periodo de un año, cuando así hayan sido declaradas por resolución firme”</w:t>
      </w:r>
      <w:r w:rsidRPr="002C26A9">
        <w:t xml:space="preserve"> y </w:t>
      </w:r>
      <w:r w:rsidRPr="002C26A9">
        <w:rPr>
          <w:i/>
        </w:rPr>
        <w:t>“la comisión de tres faltas graves en el periodo de un año, cuando así haya sido declarado por resolución firme”</w:t>
      </w:r>
      <w:r w:rsidRPr="002C26A9">
        <w:t>.</w:t>
      </w:r>
    </w:p>
    <w:p w:rsidR="006A1E88" w:rsidRPr="002C26A9" w:rsidRDefault="006A1E88" w:rsidP="00FE0057">
      <w:r w:rsidRPr="002C26A9">
        <w:t xml:space="preserve">Estos dos preceptos, puestos en relación con las posteriores previsiones del artículo 27, sobre el manejo de los conceptos de reiteración y reincidencia como criterios de graduación de las sancionados -ya tratado en la consideración IV-, suscitan la problemática derivada del posible efecto acumulativo de las circunstancias mencionadas y aconseja recordar lo señalado en varias ocasiones por este Consejo sobre esa misma cuestión, remitiéndose a lo dicho, por ejemplo, en el dictamen 167/2010, de 9 de septiembre, donde, con cita de otros anteriores, se expuso al respecto: </w:t>
      </w:r>
      <w:r w:rsidRPr="002C26A9">
        <w:rPr>
          <w:i/>
        </w:rPr>
        <w:t xml:space="preserve">“Este Consejo en sus dictámenes 17/1999, de 2 de marzo, y 58/2002, de 22 de abril, ha tratado la problemática que suscita la toma en consideración de la reiteración y/o reincidencia, de forma acumulable como elemento de tipificación de las infracciones y como circunstancia orientativa de la graduación de las sanciones, señalando que "la aplicación a la potestad sancionadora de la Administración de los principios que rigen la potestad punitiva penal, determina la necesidad de incluir alguna cláusula que impida </w:t>
      </w:r>
      <w:r w:rsidRPr="002C26A9">
        <w:rPr>
          <w:i/>
        </w:rPr>
        <w:lastRenderedPageBreak/>
        <w:t>apreciar estos criterios [de modulación de la sanción] para agravar o atenuar las sanciones cuando ya hayan sido tenidos en cuenta para tipificar la infracción, tal como establece el Código Penal para los delitos en su artículo 67". Con el fin de evitar problemas aplicativos que podrían resultar de esta forma de tipificar faltas y sanciones sería conveniente incorporar alguna previsión que impidiera incurrir en la doble sanción de hechos de la misma naturaleza”</w:t>
      </w:r>
      <w:r w:rsidRPr="002C26A9">
        <w:t>.</w:t>
      </w:r>
    </w:p>
    <w:p w:rsidR="006A1E88" w:rsidRPr="002C26A9" w:rsidRDefault="006A1E88" w:rsidP="00FE0057">
      <w:r w:rsidRPr="002C26A9">
        <w:rPr>
          <w:b/>
        </w:rPr>
        <w:t>Irregularidades y discordancias de tipo gramatical o tipográfico.</w:t>
      </w:r>
      <w:r w:rsidR="00FE0057" w:rsidRPr="002C26A9">
        <w:rPr>
          <w:b/>
        </w:rPr>
        <w:t>-</w:t>
      </w:r>
      <w:r w:rsidRPr="002C26A9">
        <w:t xml:space="preserve"> Finalmente, se aconseja verificar un repaso general del texto del anteproyecto, a fin de corregir algunas deficiencias de redacción o imprecisiones, de las que, a modo de ejemplo, se ofrecen algunas muestras:</w:t>
      </w:r>
    </w:p>
    <w:p w:rsidR="006A1E88" w:rsidRPr="002C26A9" w:rsidRDefault="006A1E88" w:rsidP="00FE0057">
      <w:r w:rsidRPr="002C26A9">
        <w:t xml:space="preserve">a) Se aprecia que no se han seguido pautas uniformes respecto al uso de la tilde diacrítica distintiva de los pronombres demostrativos que desempeñan en la oración una función pronominal. Así, habiéndose optado mayoritariamente por el empleo de dicho signo ortográfico en los pronombres </w:t>
      </w:r>
      <w:r w:rsidRPr="002C26A9">
        <w:rPr>
          <w:i/>
        </w:rPr>
        <w:t>“ésta”</w:t>
      </w:r>
      <w:r w:rsidRPr="002C26A9">
        <w:t xml:space="preserve"> o </w:t>
      </w:r>
      <w:r w:rsidRPr="002C26A9">
        <w:rPr>
          <w:i/>
        </w:rPr>
        <w:t>“aquél”</w:t>
      </w:r>
      <w:r w:rsidRPr="002C26A9">
        <w:t xml:space="preserve"> -por ejemplo, en los artículos 10.3, 30.4, segundo párrafo, o disposición transitoria primera, apartado 1-, no se ha hecho igual con ese último pronombre en el tercer párrafo del artículo 30.4.</w:t>
      </w:r>
    </w:p>
    <w:p w:rsidR="006A1E88" w:rsidRPr="002C26A9" w:rsidRDefault="006A1E88" w:rsidP="00FE0057">
      <w:r w:rsidRPr="002C26A9">
        <w:t xml:space="preserve">Sobre este particular conviene recordar que, según las actuales orientaciones de la Real Academia Española de la </w:t>
      </w:r>
      <w:r w:rsidR="00AC7C76" w:rsidRPr="002C26A9">
        <w:t>L</w:t>
      </w:r>
      <w:r w:rsidRPr="002C26A9">
        <w:t xml:space="preserve">engua, se propugna un uso muy restrictivo de la tilde en estos casos, indicando que: </w:t>
      </w:r>
      <w:r w:rsidRPr="002C26A9">
        <w:rPr>
          <w:i/>
        </w:rPr>
        <w:t>“solo cuando en una oración exista riesgo de ambigüedad porque el demostrativo pueda interpretarse en una u otra de las funciones antes señaladas, el demostrativo llevará obligatoriamente tilde en su uso pronominal”</w:t>
      </w:r>
      <w:r w:rsidRPr="002C26A9">
        <w:t>.</w:t>
      </w:r>
    </w:p>
    <w:p w:rsidR="006A1E88" w:rsidRPr="002C26A9" w:rsidRDefault="006A1E88" w:rsidP="00FE0057">
      <w:r w:rsidRPr="002C26A9">
        <w:t xml:space="preserve">b) En el artículo 6.1.c).9º, el sustantivo </w:t>
      </w:r>
      <w:r w:rsidRPr="002C26A9">
        <w:rPr>
          <w:i/>
        </w:rPr>
        <w:t>“aeropuerto”</w:t>
      </w:r>
      <w:r w:rsidRPr="002C26A9">
        <w:t xml:space="preserve"> debería emplearse en plural.</w:t>
      </w:r>
    </w:p>
    <w:p w:rsidR="006A1E88" w:rsidRPr="002C26A9" w:rsidRDefault="006A1E88" w:rsidP="00FE0057">
      <w:r w:rsidRPr="002C26A9">
        <w:t xml:space="preserve">c) El artículo 25.3.b) define un determinado tipo infractor mediante una remisión interna al </w:t>
      </w:r>
      <w:r w:rsidRPr="002C26A9">
        <w:rPr>
          <w:i/>
        </w:rPr>
        <w:t>“artículo 12, párrafos b) y f)”</w:t>
      </w:r>
      <w:r w:rsidRPr="002C26A9">
        <w:t xml:space="preserve"> de la propia ley, lo que resulta inexacto, por incompleto, ya que se obvia que dichos epígrafes b) y f) pertenecen al apartado 1 del citado artículo, al que no se hace mención.</w:t>
      </w:r>
    </w:p>
    <w:p w:rsidR="006A1E88" w:rsidRPr="002C26A9" w:rsidRDefault="006A1E88" w:rsidP="006A1E88">
      <w:pPr>
        <w:pStyle w:val="enmerito"/>
      </w:pPr>
      <w:r w:rsidRPr="002C26A9">
        <w:lastRenderedPageBreak/>
        <w:t>En mérito de lo expuesto, el Consejo Consultivo de Castilla-La Mancha es de dictamen:</w:t>
      </w:r>
    </w:p>
    <w:p w:rsidR="006A1E88" w:rsidRPr="002C26A9" w:rsidRDefault="006A1E88" w:rsidP="006A1E88">
      <w:r w:rsidRPr="002C26A9">
        <w:t xml:space="preserve">Que tenidas en cuenta las observaciones contenidas en el presente dictamen, puede V. E. elevar al Consejo de Gobierno, para su aprobación como proyecto de </w:t>
      </w:r>
      <w:r w:rsidR="00C61D05" w:rsidRPr="002C26A9">
        <w:t>Ley</w:t>
      </w:r>
      <w:r w:rsidRPr="002C26A9">
        <w:t xml:space="preserve">, el anteproyecto de </w:t>
      </w:r>
      <w:r w:rsidR="00C61D05" w:rsidRPr="002C26A9">
        <w:t xml:space="preserve">Ley </w:t>
      </w:r>
      <w:r w:rsidRPr="002C26A9">
        <w:t>de acceso al entorno de las personas discapacitadas acompañadas de perros de asistencia, señalándose como esenciales las observaciones contenidas en la consideración IV.”</w:t>
      </w:r>
    </w:p>
    <w:p w:rsidR="006A1E88" w:rsidRPr="002C26A9" w:rsidRDefault="006A1E88" w:rsidP="00FE0057">
      <w:pPr>
        <w:pStyle w:val="VE"/>
      </w:pPr>
      <w:r w:rsidRPr="002C26A9">
        <w:t>V. E., no obstante, resolverá lo que estime más acertado.</w:t>
      </w:r>
    </w:p>
    <w:p w:rsidR="006A1E88" w:rsidRPr="002C26A9" w:rsidRDefault="006A1E88" w:rsidP="00FE0057">
      <w:pPr>
        <w:pStyle w:val="fecha"/>
        <w:ind w:left="4536"/>
      </w:pPr>
      <w:r w:rsidRPr="002C26A9">
        <w:t>Toledo, 27 de septiembre de 2018</w:t>
      </w:r>
    </w:p>
    <w:p w:rsidR="00FE0057" w:rsidRPr="002C26A9" w:rsidRDefault="00FE0057" w:rsidP="00FE0057">
      <w:pPr>
        <w:ind w:left="4536" w:firstLine="0"/>
      </w:pPr>
    </w:p>
    <w:p w:rsidR="00FE0057" w:rsidRPr="002C26A9" w:rsidRDefault="00FE0057" w:rsidP="00FE0057">
      <w:pPr>
        <w:ind w:left="4536" w:firstLine="0"/>
      </w:pPr>
    </w:p>
    <w:p w:rsidR="00FE0057" w:rsidRPr="002C26A9" w:rsidRDefault="00FE0057" w:rsidP="00FE0057">
      <w:pPr>
        <w:ind w:left="4536" w:firstLine="0"/>
      </w:pPr>
    </w:p>
    <w:p w:rsidR="00FE0057" w:rsidRPr="002C26A9" w:rsidRDefault="00FE0057" w:rsidP="00FE0057">
      <w:pPr>
        <w:ind w:left="4536" w:firstLine="0"/>
      </w:pPr>
    </w:p>
    <w:p w:rsidR="006A1E88" w:rsidRPr="002C26A9" w:rsidRDefault="00FE0057" w:rsidP="00FE0057">
      <w:pPr>
        <w:pStyle w:val="FirmaSecretario"/>
        <w:ind w:left="4536"/>
      </w:pPr>
      <w:r w:rsidRPr="002C26A9">
        <w:t>LA SECRETARIA GENERAL ACCTAL.</w:t>
      </w:r>
    </w:p>
    <w:p w:rsidR="006A1E88" w:rsidRPr="002C26A9" w:rsidRDefault="00FE0057" w:rsidP="006A1E88">
      <w:pPr>
        <w:pStyle w:val="FirmaPresidente"/>
      </w:pPr>
      <w:r w:rsidRPr="002C26A9">
        <w:t>EL PRESIDENTE</w:t>
      </w:r>
    </w:p>
    <w:p w:rsidR="006A1E88" w:rsidRPr="002C26A9" w:rsidRDefault="006A1E88" w:rsidP="006A1E88"/>
    <w:p w:rsidR="006A1E88" w:rsidRPr="002C26A9" w:rsidRDefault="006A1E88" w:rsidP="006A1E88"/>
    <w:p w:rsidR="00F92F18" w:rsidRPr="002C26A9" w:rsidRDefault="00F92F18" w:rsidP="006A1E88"/>
    <w:p w:rsidR="00E06654" w:rsidRDefault="006A1E88" w:rsidP="00FE0057">
      <w:pPr>
        <w:pStyle w:val="Piedepginaimpar"/>
        <w:jc w:val="both"/>
      </w:pPr>
      <w:r w:rsidRPr="002C26A9">
        <w:t>EXCMA. SRA. CONSEJERA DE BIENESTAR SOCIAL</w:t>
      </w:r>
    </w:p>
    <w:sectPr w:rsidR="00E06654" w:rsidSect="00F92F18">
      <w:headerReference w:type="even" r:id="rId7"/>
      <w:headerReference w:type="default" r:id="rId8"/>
      <w:footerReference w:type="even" r:id="rId9"/>
      <w:footerReference w:type="default" r:id="rId10"/>
      <w:headerReference w:type="first" r:id="rId11"/>
      <w:footerReference w:type="first" r:id="rId12"/>
      <w:pgSz w:w="11907" w:h="16840"/>
      <w:pgMar w:top="3969" w:right="1644" w:bottom="1418" w:left="164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1E88" w:rsidRDefault="006A1E88">
      <w:pPr>
        <w:spacing w:before="0" w:after="0"/>
      </w:pPr>
      <w:r>
        <w:separator/>
      </w:r>
    </w:p>
  </w:endnote>
  <w:endnote w:type="continuationSeparator" w:id="0">
    <w:p w:rsidR="006A1E88" w:rsidRDefault="006A1E8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Sorts">
    <w:altName w:val="Symbol"/>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4CB" w:rsidRPr="00AF3DDB" w:rsidRDefault="002D64CB" w:rsidP="00AF3DD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4CB" w:rsidRPr="00AF3DDB" w:rsidRDefault="002D64CB" w:rsidP="00AF3DDB">
    <w:pPr>
      <w:pStyle w:val="Piedepgina"/>
      <w:rPr>
        <w:rStyle w:val="Nmerodepgina"/>
        <w:lang w:val="es-ES_tradn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DDB" w:rsidRDefault="00AF3DD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1E88" w:rsidRDefault="006A1E88">
      <w:pPr>
        <w:spacing w:before="0" w:after="0"/>
      </w:pPr>
      <w:r>
        <w:separator/>
      </w:r>
    </w:p>
  </w:footnote>
  <w:footnote w:type="continuationSeparator" w:id="0">
    <w:p w:rsidR="006A1E88" w:rsidRDefault="006A1E88">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DDB" w:rsidRDefault="00AF3DD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DDB" w:rsidRDefault="00AF3DDB">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DDB" w:rsidRDefault="00AF3DD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D68C6730"/>
    <w:lvl w:ilvl="0">
      <w:start w:val="1"/>
      <w:numFmt w:val="decimal"/>
      <w:pStyle w:val="Listaconnmeros3"/>
      <w:lvlText w:val="%1."/>
      <w:lvlJc w:val="left"/>
      <w:pPr>
        <w:tabs>
          <w:tab w:val="num" w:pos="1211"/>
        </w:tabs>
        <w:ind w:left="1134" w:hanging="283"/>
      </w:pPr>
      <w:rPr>
        <w:rFonts w:ascii="Times New Roman" w:hAnsi="Times New Roman" w:hint="default"/>
        <w:b w:val="0"/>
        <w:i w:val="0"/>
        <w:sz w:val="28"/>
      </w:rPr>
    </w:lvl>
  </w:abstractNum>
  <w:abstractNum w:abstractNumId="1" w15:restartNumberingAfterBreak="0">
    <w:nsid w:val="FFFFFF82"/>
    <w:multiLevelType w:val="singleLevel"/>
    <w:tmpl w:val="42229D9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EE3CFFE4"/>
    <w:lvl w:ilvl="0">
      <w:start w:val="1"/>
      <w:numFmt w:val="bullet"/>
      <w:pStyle w:val="Listaconvietas2"/>
      <w:lvlText w:val=""/>
      <w:lvlJc w:val="left"/>
      <w:pPr>
        <w:tabs>
          <w:tab w:val="num" w:pos="1211"/>
        </w:tabs>
        <w:ind w:left="1191" w:hanging="340"/>
      </w:pPr>
      <w:rPr>
        <w:rFonts w:ascii="Monotype Sorts" w:hAnsi="Monotype Sorts" w:hint="default"/>
        <w:sz w:val="12"/>
      </w:rPr>
    </w:lvl>
  </w:abstractNum>
  <w:abstractNum w:abstractNumId="3" w15:restartNumberingAfterBreak="0">
    <w:nsid w:val="FFFFFF89"/>
    <w:multiLevelType w:val="singleLevel"/>
    <w:tmpl w:val="6886732E"/>
    <w:lvl w:ilvl="0">
      <w:start w:val="1"/>
      <w:numFmt w:val="bullet"/>
      <w:pStyle w:val="Listaconvietas"/>
      <w:lvlText w:val=""/>
      <w:lvlJc w:val="left"/>
      <w:pPr>
        <w:tabs>
          <w:tab w:val="num" w:pos="1494"/>
        </w:tabs>
        <w:ind w:left="1418" w:hanging="284"/>
      </w:pPr>
      <w:rPr>
        <w:rFonts w:ascii="Symbol" w:hAnsi="Symbol" w:hint="default"/>
        <w:sz w:val="28"/>
      </w:rPr>
    </w:lvl>
  </w:abstractNum>
  <w:abstractNum w:abstractNumId="4" w15:restartNumberingAfterBreak="0">
    <w:nsid w:val="01291DA0"/>
    <w:multiLevelType w:val="singleLevel"/>
    <w:tmpl w:val="A4FE2444"/>
    <w:lvl w:ilvl="0">
      <w:start w:val="1"/>
      <w:numFmt w:val="lowerLetter"/>
      <w:pStyle w:val="ListaconletrasCursiva"/>
      <w:lvlText w:val="%1)"/>
      <w:lvlJc w:val="left"/>
      <w:pPr>
        <w:tabs>
          <w:tab w:val="num" w:pos="1211"/>
        </w:tabs>
        <w:ind w:left="1134" w:hanging="283"/>
      </w:pPr>
      <w:rPr>
        <w:rFonts w:ascii="Times New Roman" w:hAnsi="Times New Roman" w:hint="default"/>
        <w:b w:val="0"/>
        <w:i/>
        <w:sz w:val="28"/>
      </w:rPr>
    </w:lvl>
  </w:abstractNum>
  <w:abstractNum w:abstractNumId="5" w15:restartNumberingAfterBreak="0">
    <w:nsid w:val="14955AE3"/>
    <w:multiLevelType w:val="singleLevel"/>
    <w:tmpl w:val="3B4A0EA8"/>
    <w:lvl w:ilvl="0">
      <w:start w:val="1"/>
      <w:numFmt w:val="lowerLetter"/>
      <w:pStyle w:val="Listaconletras5"/>
      <w:lvlText w:val="%1)"/>
      <w:lvlJc w:val="left"/>
      <w:pPr>
        <w:tabs>
          <w:tab w:val="num" w:pos="1211"/>
        </w:tabs>
        <w:ind w:left="1134" w:hanging="283"/>
      </w:pPr>
      <w:rPr>
        <w:rFonts w:hint="default"/>
      </w:rPr>
    </w:lvl>
  </w:abstractNum>
  <w:abstractNum w:abstractNumId="6" w15:restartNumberingAfterBreak="0">
    <w:nsid w:val="206166E8"/>
    <w:multiLevelType w:val="singleLevel"/>
    <w:tmpl w:val="7E04FEE4"/>
    <w:lvl w:ilvl="0">
      <w:start w:val="1"/>
      <w:numFmt w:val="lowerLetter"/>
      <w:pStyle w:val="Listaconletras4"/>
      <w:lvlText w:val="%1)"/>
      <w:lvlJc w:val="left"/>
      <w:pPr>
        <w:tabs>
          <w:tab w:val="num" w:pos="1211"/>
        </w:tabs>
        <w:ind w:left="1134" w:hanging="283"/>
      </w:pPr>
      <w:rPr>
        <w:rFonts w:hint="default"/>
      </w:rPr>
    </w:lvl>
  </w:abstractNum>
  <w:abstractNum w:abstractNumId="7" w15:restartNumberingAfterBreak="0">
    <w:nsid w:val="22B24F0C"/>
    <w:multiLevelType w:val="singleLevel"/>
    <w:tmpl w:val="46C0BFC0"/>
    <w:lvl w:ilvl="0">
      <w:start w:val="1"/>
      <w:numFmt w:val="lowerLetter"/>
      <w:pStyle w:val="Listaconletras2"/>
      <w:lvlText w:val="%1)"/>
      <w:lvlJc w:val="left"/>
      <w:pPr>
        <w:tabs>
          <w:tab w:val="num" w:pos="1211"/>
        </w:tabs>
        <w:ind w:left="1134" w:hanging="283"/>
      </w:pPr>
      <w:rPr>
        <w:rFonts w:hint="default"/>
      </w:rPr>
    </w:lvl>
  </w:abstractNum>
  <w:abstractNum w:abstractNumId="8" w15:restartNumberingAfterBreak="0">
    <w:nsid w:val="286C695F"/>
    <w:multiLevelType w:val="singleLevel"/>
    <w:tmpl w:val="3EB05B2E"/>
    <w:lvl w:ilvl="0">
      <w:start w:val="1"/>
      <w:numFmt w:val="decimal"/>
      <w:pStyle w:val="Listaconnmeros"/>
      <w:lvlText w:val="%1."/>
      <w:lvlJc w:val="left"/>
      <w:pPr>
        <w:tabs>
          <w:tab w:val="num" w:pos="1211"/>
        </w:tabs>
        <w:ind w:left="1134" w:hanging="283"/>
      </w:pPr>
      <w:rPr>
        <w:rFonts w:ascii="Times New Roman" w:hAnsi="Times New Roman" w:hint="default"/>
        <w:b w:val="0"/>
        <w:i w:val="0"/>
        <w:sz w:val="28"/>
      </w:rPr>
    </w:lvl>
  </w:abstractNum>
  <w:abstractNum w:abstractNumId="9" w15:restartNumberingAfterBreak="0">
    <w:nsid w:val="675C7266"/>
    <w:multiLevelType w:val="singleLevel"/>
    <w:tmpl w:val="4EF4808A"/>
    <w:lvl w:ilvl="0">
      <w:numFmt w:val="bullet"/>
      <w:pStyle w:val="Listaconguiones"/>
      <w:lvlText w:val="-"/>
      <w:lvlJc w:val="left"/>
      <w:pPr>
        <w:tabs>
          <w:tab w:val="num" w:pos="1211"/>
        </w:tabs>
        <w:ind w:left="1134" w:hanging="283"/>
      </w:pPr>
      <w:rPr>
        <w:rFonts w:ascii="Times New Roman" w:hAnsi="Times New Roman" w:hint="default"/>
        <w:b w:val="0"/>
        <w:i w:val="0"/>
        <w:kern w:val="0"/>
        <w:sz w:val="28"/>
      </w:rPr>
    </w:lvl>
  </w:abstractNum>
  <w:abstractNum w:abstractNumId="10" w15:restartNumberingAfterBreak="0">
    <w:nsid w:val="6E3D73BF"/>
    <w:multiLevelType w:val="singleLevel"/>
    <w:tmpl w:val="5A3406FC"/>
    <w:lvl w:ilvl="0">
      <w:start w:val="1"/>
      <w:numFmt w:val="lowerLetter"/>
      <w:pStyle w:val="Listaconletras3"/>
      <w:lvlText w:val="%1)"/>
      <w:lvlJc w:val="left"/>
      <w:pPr>
        <w:tabs>
          <w:tab w:val="num" w:pos="1211"/>
        </w:tabs>
        <w:ind w:left="1134" w:hanging="283"/>
      </w:pPr>
      <w:rPr>
        <w:rFonts w:hint="default"/>
      </w:rPr>
    </w:lvl>
  </w:abstractNum>
  <w:abstractNum w:abstractNumId="11" w15:restartNumberingAfterBreak="0">
    <w:nsid w:val="6F1537C8"/>
    <w:multiLevelType w:val="singleLevel"/>
    <w:tmpl w:val="45E85CAE"/>
    <w:lvl w:ilvl="0">
      <w:start w:val="1"/>
      <w:numFmt w:val="lowerLetter"/>
      <w:pStyle w:val="Listaconletras"/>
      <w:lvlText w:val="%1)"/>
      <w:lvlJc w:val="left"/>
      <w:pPr>
        <w:tabs>
          <w:tab w:val="num" w:pos="1211"/>
        </w:tabs>
        <w:ind w:left="1134" w:hanging="283"/>
      </w:pPr>
      <w:rPr>
        <w:rFonts w:ascii="Times New Roman" w:hAnsi="Times New Roman" w:hint="default"/>
        <w:b w:val="0"/>
        <w:i w:val="0"/>
        <w:sz w:val="28"/>
      </w:rPr>
    </w:lvl>
  </w:abstractNum>
  <w:num w:numId="1">
    <w:abstractNumId w:val="2"/>
  </w:num>
  <w:num w:numId="2">
    <w:abstractNumId w:val="4"/>
  </w:num>
  <w:num w:numId="3">
    <w:abstractNumId w:val="7"/>
  </w:num>
  <w:num w:numId="4">
    <w:abstractNumId w:val="10"/>
  </w:num>
  <w:num w:numId="5">
    <w:abstractNumId w:val="6"/>
  </w:num>
  <w:num w:numId="6">
    <w:abstractNumId w:val="5"/>
  </w:num>
  <w:num w:numId="7">
    <w:abstractNumId w:val="0"/>
  </w:num>
  <w:num w:numId="8">
    <w:abstractNumId w:val="11"/>
  </w:num>
  <w:num w:numId="9">
    <w:abstractNumId w:val="8"/>
  </w:num>
  <w:num w:numId="10">
    <w:abstractNumId w:val="9"/>
  </w:num>
  <w:num w:numId="11">
    <w:abstractNumId w:val="3"/>
  </w:num>
  <w:num w:numId="12">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E88"/>
    <w:rsid w:val="0003071F"/>
    <w:rsid w:val="000C1C73"/>
    <w:rsid w:val="00132534"/>
    <w:rsid w:val="00185899"/>
    <w:rsid w:val="00195B94"/>
    <w:rsid w:val="00286D25"/>
    <w:rsid w:val="002C26A9"/>
    <w:rsid w:val="002D64CB"/>
    <w:rsid w:val="00394F7B"/>
    <w:rsid w:val="003D69D7"/>
    <w:rsid w:val="003E04B2"/>
    <w:rsid w:val="004E4076"/>
    <w:rsid w:val="00504802"/>
    <w:rsid w:val="00520ABE"/>
    <w:rsid w:val="005D57B9"/>
    <w:rsid w:val="006A07E3"/>
    <w:rsid w:val="006A1E88"/>
    <w:rsid w:val="006E545C"/>
    <w:rsid w:val="007312F7"/>
    <w:rsid w:val="007D7067"/>
    <w:rsid w:val="00814FD5"/>
    <w:rsid w:val="008A102B"/>
    <w:rsid w:val="00925B74"/>
    <w:rsid w:val="009D3311"/>
    <w:rsid w:val="009E643B"/>
    <w:rsid w:val="00A12793"/>
    <w:rsid w:val="00AA46DF"/>
    <w:rsid w:val="00AC5996"/>
    <w:rsid w:val="00AC7C76"/>
    <w:rsid w:val="00AF3DDB"/>
    <w:rsid w:val="00B930B4"/>
    <w:rsid w:val="00C61D05"/>
    <w:rsid w:val="00CA30E5"/>
    <w:rsid w:val="00D52248"/>
    <w:rsid w:val="00DA1866"/>
    <w:rsid w:val="00DD0CC9"/>
    <w:rsid w:val="00DF6D01"/>
    <w:rsid w:val="00E06654"/>
    <w:rsid w:val="00F06BBD"/>
    <w:rsid w:val="00F16083"/>
    <w:rsid w:val="00F354B7"/>
    <w:rsid w:val="00F40C81"/>
    <w:rsid w:val="00F74C7D"/>
    <w:rsid w:val="00F92F18"/>
    <w:rsid w:val="00FE00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0ABE"/>
    <w:pPr>
      <w:spacing w:before="120" w:after="120"/>
      <w:ind w:firstLine="851"/>
      <w:jc w:val="both"/>
    </w:pPr>
    <w:rPr>
      <w:sz w:val="28"/>
      <w:lang w:val="es-ES_tradnl"/>
    </w:rPr>
  </w:style>
  <w:style w:type="paragraph" w:styleId="Ttulo1">
    <w:name w:val="heading 1"/>
    <w:basedOn w:val="Normal"/>
    <w:next w:val="Normal"/>
    <w:qFormat/>
    <w:pPr>
      <w:keepNext/>
      <w:spacing w:before="60" w:after="60"/>
      <w:ind w:firstLine="0"/>
      <w:outlineLvl w:val="0"/>
    </w:pPr>
  </w:style>
  <w:style w:type="paragraph" w:styleId="Ttulo2">
    <w:name w:val="heading 2"/>
    <w:basedOn w:val="Normal"/>
    <w:next w:val="Normal"/>
    <w:qFormat/>
    <w:pPr>
      <w:keepNext/>
      <w:spacing w:before="0" w:after="60"/>
      <w:ind w:left="284"/>
      <w:outlineLvl w:val="1"/>
    </w:pPr>
    <w:rPr>
      <w:b/>
    </w:rPr>
  </w:style>
  <w:style w:type="paragraph" w:styleId="Ttulo3">
    <w:name w:val="heading 3"/>
    <w:basedOn w:val="Normal"/>
    <w:next w:val="Normal"/>
    <w:qFormat/>
    <w:pPr>
      <w:keepNext/>
      <w:outlineLvl w:val="2"/>
    </w:pPr>
  </w:style>
  <w:style w:type="paragraph" w:styleId="Ttulo4">
    <w:name w:val="heading 4"/>
    <w:basedOn w:val="Normal"/>
    <w:next w:val="Normal"/>
    <w:qFormat/>
    <w:pPr>
      <w:keepNext/>
      <w:spacing w:before="0" w:after="0"/>
      <w:ind w:firstLine="709"/>
      <w:outlineLvl w:val="3"/>
    </w:pPr>
  </w:style>
  <w:style w:type="paragraph" w:styleId="Ttulo5">
    <w:name w:val="heading 5"/>
    <w:basedOn w:val="Normal"/>
    <w:next w:val="Normal"/>
    <w:qFormat/>
    <w:pPr>
      <w:keepNext/>
      <w:spacing w:before="0" w:after="0"/>
      <w:ind w:firstLine="0"/>
      <w:jc w:val="center"/>
      <w:outlineLvl w:val="4"/>
    </w:pPr>
    <w:rPr>
      <w:b/>
    </w:rPr>
  </w:style>
  <w:style w:type="paragraph" w:styleId="Ttulo6">
    <w:name w:val="heading 6"/>
    <w:basedOn w:val="Normal"/>
    <w:next w:val="Normal"/>
    <w:qFormat/>
    <w:pPr>
      <w:keepNext/>
      <w:ind w:firstLine="0"/>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echa">
    <w:name w:val="fecha"/>
    <w:basedOn w:val="Normal"/>
    <w:next w:val="Normal"/>
    <w:pPr>
      <w:spacing w:after="0"/>
      <w:ind w:left="5103" w:firstLine="0"/>
      <w:jc w:val="center"/>
    </w:pPr>
  </w:style>
  <w:style w:type="paragraph" w:customStyle="1" w:styleId="FirmaSecretario">
    <w:name w:val="Firma Secretario"/>
    <w:basedOn w:val="Normal"/>
    <w:pPr>
      <w:spacing w:after="360"/>
      <w:ind w:left="5103" w:firstLine="0"/>
      <w:jc w:val="center"/>
    </w:pPr>
  </w:style>
  <w:style w:type="paragraph" w:customStyle="1" w:styleId="FirmaPresidente">
    <w:name w:val="Firma Presidente"/>
    <w:basedOn w:val="FirmaSecretario"/>
    <w:pPr>
      <w:ind w:left="0"/>
      <w:jc w:val="left"/>
    </w:pPr>
  </w:style>
  <w:style w:type="paragraph" w:customStyle="1" w:styleId="Negcent">
    <w:name w:val="Negcent"/>
    <w:basedOn w:val="Normal"/>
    <w:next w:val="Normal"/>
    <w:pPr>
      <w:spacing w:before="600" w:after="180"/>
      <w:ind w:firstLine="0"/>
      <w:jc w:val="center"/>
    </w:pPr>
    <w:rPr>
      <w:b/>
    </w:rPr>
  </w:style>
  <w:style w:type="paragraph" w:customStyle="1" w:styleId="Negrita">
    <w:name w:val="Negrita"/>
    <w:basedOn w:val="Normal"/>
    <w:next w:val="Normal"/>
    <w:rPr>
      <w:b/>
    </w:rPr>
  </w:style>
  <w:style w:type="character" w:styleId="Nmerodepgina">
    <w:name w:val="page number"/>
    <w:basedOn w:val="Fuentedeprrafopredeter"/>
    <w:autoRedefine/>
    <w:semiHidden/>
    <w:rPr>
      <w:rFonts w:ascii="Times New Roman" w:hAnsi="Times New Roman"/>
      <w:noProof w:val="0"/>
      <w:sz w:val="28"/>
      <w:lang w:val="es-ES"/>
    </w:rPr>
  </w:style>
  <w:style w:type="paragraph" w:customStyle="1" w:styleId="Piedepginaimpar">
    <w:name w:val="Pie de página impar"/>
    <w:basedOn w:val="Normal"/>
    <w:next w:val="Normal"/>
    <w:pPr>
      <w:spacing w:before="0" w:after="840"/>
      <w:ind w:firstLine="0"/>
      <w:jc w:val="right"/>
    </w:pPr>
    <w:rPr>
      <w:noProof/>
    </w:rPr>
  </w:style>
  <w:style w:type="paragraph" w:customStyle="1" w:styleId="ResultadelosANTECEDENTES">
    <w:name w:val="Resulta de los ANTECEDENTES"/>
    <w:basedOn w:val="Normal"/>
    <w:next w:val="Normal"/>
    <w:pPr>
      <w:spacing w:before="240" w:after="180"/>
      <w:ind w:left="851" w:firstLine="0"/>
      <w:jc w:val="left"/>
    </w:pPr>
  </w:style>
  <w:style w:type="paragraph" w:styleId="Listaconvietas">
    <w:name w:val="List Bullet"/>
    <w:basedOn w:val="Normal"/>
    <w:semiHidden/>
    <w:pPr>
      <w:numPr>
        <w:numId w:val="11"/>
      </w:numPr>
      <w:tabs>
        <w:tab w:val="clear" w:pos="1494"/>
      </w:tabs>
    </w:pPr>
  </w:style>
  <w:style w:type="paragraph" w:styleId="Listaconnmeros">
    <w:name w:val="List Number"/>
    <w:basedOn w:val="Normal"/>
    <w:semiHidden/>
    <w:pPr>
      <w:numPr>
        <w:numId w:val="9"/>
      </w:numPr>
      <w:tabs>
        <w:tab w:val="clear" w:pos="1211"/>
      </w:tabs>
    </w:pPr>
  </w:style>
  <w:style w:type="paragraph" w:customStyle="1" w:styleId="Listaconguiones">
    <w:name w:val="Lista con guiones"/>
    <w:basedOn w:val="Normal"/>
    <w:pPr>
      <w:numPr>
        <w:numId w:val="10"/>
      </w:numPr>
      <w:tabs>
        <w:tab w:val="clear" w:pos="1211"/>
      </w:tabs>
    </w:pPr>
  </w:style>
  <w:style w:type="paragraph" w:customStyle="1" w:styleId="Listaconletras">
    <w:name w:val="Lista con letras"/>
    <w:basedOn w:val="Normal"/>
    <w:pPr>
      <w:numPr>
        <w:numId w:val="8"/>
      </w:numPr>
      <w:tabs>
        <w:tab w:val="clear" w:pos="1211"/>
      </w:tabs>
    </w:pPr>
  </w:style>
  <w:style w:type="paragraph" w:customStyle="1" w:styleId="ListaconletrasCursiva">
    <w:name w:val="Lista con letras: Cursiva"/>
    <w:basedOn w:val="Listaconletras"/>
    <w:pPr>
      <w:numPr>
        <w:numId w:val="2"/>
      </w:numPr>
    </w:pPr>
    <w:rPr>
      <w:i/>
    </w:rPr>
  </w:style>
  <w:style w:type="paragraph" w:styleId="Sangradetextonormal">
    <w:name w:val="Body Text Indent"/>
    <w:basedOn w:val="Normal"/>
    <w:semiHidden/>
    <w:pPr>
      <w:spacing w:before="0" w:after="0"/>
      <w:ind w:firstLine="709"/>
    </w:pPr>
  </w:style>
  <w:style w:type="paragraph" w:customStyle="1" w:styleId="Listaconletras2">
    <w:name w:val="Lista con letras2"/>
    <w:basedOn w:val="Listaconletras"/>
    <w:pPr>
      <w:numPr>
        <w:numId w:val="3"/>
      </w:numPr>
      <w:tabs>
        <w:tab w:val="clear" w:pos="1211"/>
      </w:tabs>
    </w:pPr>
  </w:style>
  <w:style w:type="paragraph" w:customStyle="1" w:styleId="Listaconletras3">
    <w:name w:val="Lista con letras3"/>
    <w:basedOn w:val="Listaconletras"/>
    <w:pPr>
      <w:numPr>
        <w:numId w:val="4"/>
      </w:numPr>
      <w:tabs>
        <w:tab w:val="clear" w:pos="1211"/>
      </w:tabs>
    </w:pPr>
  </w:style>
  <w:style w:type="paragraph" w:customStyle="1" w:styleId="Listaconletras4">
    <w:name w:val="Lista con letras4"/>
    <w:basedOn w:val="Listaconletras"/>
    <w:pPr>
      <w:numPr>
        <w:numId w:val="5"/>
      </w:numPr>
      <w:tabs>
        <w:tab w:val="clear" w:pos="1211"/>
      </w:tabs>
    </w:pPr>
  </w:style>
  <w:style w:type="paragraph" w:customStyle="1" w:styleId="Listaconletras5">
    <w:name w:val="Lista con letras5"/>
    <w:basedOn w:val="Listaconletras"/>
    <w:pPr>
      <w:numPr>
        <w:numId w:val="6"/>
      </w:numPr>
      <w:tabs>
        <w:tab w:val="clear" w:pos="1211"/>
      </w:tabs>
    </w:pPr>
  </w:style>
  <w:style w:type="paragraph" w:styleId="Listaconnmeros2">
    <w:name w:val="List Number 2"/>
    <w:basedOn w:val="Listaconnmeros"/>
    <w:semiHidden/>
    <w:pPr>
      <w:numPr>
        <w:numId w:val="0"/>
      </w:numPr>
      <w:ind w:left="851"/>
    </w:pPr>
  </w:style>
  <w:style w:type="paragraph" w:styleId="Listaconnmeros3">
    <w:name w:val="List Number 3"/>
    <w:basedOn w:val="Listaconnmeros"/>
    <w:semiHidden/>
    <w:pPr>
      <w:numPr>
        <w:numId w:val="7"/>
      </w:numPr>
      <w:tabs>
        <w:tab w:val="clear" w:pos="1211"/>
      </w:tabs>
    </w:pPr>
  </w:style>
  <w:style w:type="paragraph" w:customStyle="1" w:styleId="Comienzo">
    <w:name w:val="Comienzo"/>
    <w:basedOn w:val="Normal"/>
    <w:pPr>
      <w:spacing w:before="1920" w:after="480"/>
    </w:pPr>
  </w:style>
  <w:style w:type="paragraph" w:customStyle="1" w:styleId="Prrafoadentradoenlista">
    <w:name w:val="Párrafo adentrado en lista"/>
    <w:basedOn w:val="Normal"/>
    <w:pPr>
      <w:ind w:left="1134" w:firstLine="284"/>
    </w:pPr>
  </w:style>
  <w:style w:type="paragraph" w:customStyle="1" w:styleId="Consideraciones">
    <w:name w:val="Consideraciones"/>
    <w:basedOn w:val="Negcent"/>
    <w:pPr>
      <w:spacing w:before="720" w:after="0"/>
    </w:pPr>
  </w:style>
  <w:style w:type="paragraph" w:styleId="Puesto">
    <w:name w:val="Title"/>
    <w:basedOn w:val="Normal"/>
    <w:qFormat/>
    <w:pPr>
      <w:spacing w:before="60" w:after="60"/>
      <w:ind w:left="357" w:firstLine="493"/>
      <w:outlineLvl w:val="0"/>
    </w:pPr>
    <w:rPr>
      <w:kern w:val="28"/>
    </w:rPr>
  </w:style>
  <w:style w:type="paragraph" w:customStyle="1" w:styleId="dentro">
    <w:name w:val="dentro"/>
    <w:basedOn w:val="Normal"/>
    <w:pPr>
      <w:ind w:left="851" w:firstLine="709"/>
    </w:pPr>
  </w:style>
  <w:style w:type="paragraph" w:customStyle="1" w:styleId="Prrafoadentradoenlista1">
    <w:name w:val="Párrafo adentrado en lista1"/>
    <w:basedOn w:val="Normal"/>
    <w:pPr>
      <w:ind w:left="1418" w:firstLine="284"/>
    </w:pPr>
  </w:style>
  <w:style w:type="paragraph" w:customStyle="1" w:styleId="enmerito">
    <w:name w:val="en merito"/>
    <w:basedOn w:val="Normal"/>
    <w:pPr>
      <w:spacing w:before="600" w:after="720"/>
    </w:pPr>
  </w:style>
  <w:style w:type="paragraph" w:styleId="Piedepgina">
    <w:name w:val="footer"/>
    <w:basedOn w:val="Normal"/>
    <w:semiHidden/>
    <w:pPr>
      <w:tabs>
        <w:tab w:val="center" w:pos="4252"/>
        <w:tab w:val="right" w:pos="8504"/>
      </w:tabs>
      <w:spacing w:before="0" w:after="0"/>
      <w:ind w:firstLine="0"/>
      <w:jc w:val="left"/>
    </w:pPr>
  </w:style>
  <w:style w:type="paragraph" w:styleId="Sangra2detindependiente">
    <w:name w:val="Body Text Indent 2"/>
    <w:basedOn w:val="Normal"/>
    <w:semiHidden/>
    <w:pPr>
      <w:spacing w:before="0" w:after="0"/>
    </w:pPr>
  </w:style>
  <w:style w:type="paragraph" w:styleId="Textoindependiente">
    <w:name w:val="Body Text"/>
    <w:basedOn w:val="Normal"/>
    <w:semiHidden/>
    <w:pPr>
      <w:spacing w:before="0"/>
      <w:ind w:firstLine="0"/>
      <w:jc w:val="left"/>
    </w:pPr>
  </w:style>
  <w:style w:type="paragraph" w:styleId="Listaconvietas2">
    <w:name w:val="List Bullet 2"/>
    <w:basedOn w:val="Normal"/>
    <w:semiHidden/>
    <w:pPr>
      <w:numPr>
        <w:numId w:val="1"/>
      </w:numPr>
      <w:tabs>
        <w:tab w:val="clear" w:pos="1211"/>
        <w:tab w:val="num" w:pos="643"/>
      </w:tabs>
      <w:spacing w:before="0" w:after="0"/>
      <w:ind w:left="643" w:hanging="360"/>
      <w:jc w:val="left"/>
    </w:pPr>
  </w:style>
  <w:style w:type="paragraph" w:styleId="Listaconvietas3">
    <w:name w:val="List Bullet 3"/>
    <w:basedOn w:val="Normal"/>
    <w:semiHidden/>
    <w:pPr>
      <w:numPr>
        <w:numId w:val="12"/>
      </w:numPr>
      <w:spacing w:before="0" w:after="0"/>
      <w:jc w:val="left"/>
    </w:pPr>
  </w:style>
  <w:style w:type="paragraph" w:styleId="Sangra3detindependiente">
    <w:name w:val="Body Text Indent 3"/>
    <w:basedOn w:val="Normal"/>
    <w:semiHidden/>
    <w:pPr>
      <w:spacing w:before="0" w:after="0"/>
      <w:ind w:firstLine="709"/>
    </w:pPr>
    <w:rPr>
      <w:b/>
    </w:rPr>
  </w:style>
  <w:style w:type="paragraph" w:styleId="Encabezado">
    <w:name w:val="header"/>
    <w:basedOn w:val="Normal"/>
    <w:semiHidden/>
    <w:pPr>
      <w:tabs>
        <w:tab w:val="center" w:pos="4252"/>
        <w:tab w:val="right" w:pos="8504"/>
      </w:tabs>
      <w:spacing w:before="0" w:after="0"/>
      <w:ind w:firstLine="0"/>
      <w:jc w:val="left"/>
    </w:pPr>
  </w:style>
  <w:style w:type="paragraph" w:styleId="Mapadeldocumento">
    <w:name w:val="Document Map"/>
    <w:basedOn w:val="Normal"/>
    <w:semiHidden/>
    <w:pPr>
      <w:shd w:val="clear" w:color="auto" w:fill="000080"/>
      <w:spacing w:before="0" w:after="0"/>
      <w:ind w:firstLine="0"/>
      <w:jc w:val="left"/>
    </w:pPr>
    <w:rPr>
      <w:rFonts w:ascii="Tahoma" w:hAnsi="Tahoma" w:cs="Tahoma"/>
    </w:rPr>
  </w:style>
  <w:style w:type="paragraph" w:customStyle="1" w:styleId="alavista">
    <w:name w:val="a la vista"/>
    <w:basedOn w:val="Normal"/>
    <w:pPr>
      <w:spacing w:before="720" w:after="0"/>
    </w:pPr>
  </w:style>
  <w:style w:type="paragraph" w:customStyle="1" w:styleId="Cursiva">
    <w:name w:val="Cursiva"/>
    <w:basedOn w:val="Normal"/>
    <w:rPr>
      <w:i/>
    </w:rPr>
  </w:style>
  <w:style w:type="paragraph" w:customStyle="1" w:styleId="VE">
    <w:name w:val="VE"/>
    <w:basedOn w:val="Normal"/>
    <w:pPr>
      <w:spacing w:before="600" w:after="240"/>
    </w:pPr>
  </w:style>
  <w:style w:type="paragraph" w:customStyle="1" w:styleId="FirmaActasSecretario">
    <w:name w:val="Firma Actas Secretario"/>
    <w:basedOn w:val="Normal"/>
    <w:pPr>
      <w:spacing w:after="360"/>
      <w:jc w:val="right"/>
    </w:pPr>
  </w:style>
  <w:style w:type="paragraph" w:customStyle="1" w:styleId="FirmaActasPresidente">
    <w:name w:val="Firma Actas Presidente"/>
    <w:basedOn w:val="FirmaActasSecretario"/>
    <w:pPr>
      <w:ind w:firstLine="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8715</Words>
  <Characters>48038</Characters>
  <Application>Microsoft Office Word</Application>
  <DocSecurity>0</DocSecurity>
  <Lines>400</Lines>
  <Paragraphs>113</Paragraphs>
  <ScaleCrop>false</ScaleCrop>
  <Company/>
  <LinksUpToDate>false</LinksUpToDate>
  <CharactersWithSpaces>56640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2018-10-16T10:24:00Z</dcterms:created>
  <dcterms:modified xsi:type="dcterms:W3CDTF">2018-10-16T10:24:00Z</dcterms:modified>
</cp:coreProperties>
</file>